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DCF893" w14:textId="3D3B1E30" w:rsidR="009E1952" w:rsidRPr="001A5B2A" w:rsidRDefault="009E1952" w:rsidP="009E1952">
      <w:pPr>
        <w:tabs>
          <w:tab w:val="right" w:pos="9630"/>
        </w:tabs>
      </w:pPr>
      <w:bookmarkStart w:id="0" w:name="_Ref494746248"/>
      <w:r w:rsidRPr="001A5B2A">
        <w:rPr>
          <w:rFonts w:ascii="Arial" w:hAnsi="Arial" w:cs="Arial"/>
          <w:b/>
          <w:sz w:val="24"/>
        </w:rPr>
        <w:t>3GPP TSG RAN WG1 Meeting #92</w:t>
      </w:r>
      <w:r w:rsidR="00680B9E">
        <w:rPr>
          <w:rFonts w:ascii="Arial" w:hAnsi="Arial" w:cs="Arial"/>
          <w:b/>
          <w:sz w:val="24"/>
        </w:rPr>
        <w:t>bis</w:t>
      </w:r>
      <w:r w:rsidRPr="001A5B2A">
        <w:rPr>
          <w:rFonts w:ascii="Arial" w:hAnsi="Arial" w:cs="Arial"/>
          <w:b/>
          <w:sz w:val="24"/>
        </w:rPr>
        <w:tab/>
        <w:t>R1-</w:t>
      </w:r>
      <w:r w:rsidR="00F333F7" w:rsidRPr="00F333F7">
        <w:rPr>
          <w:rFonts w:ascii="Arial" w:hAnsi="Arial" w:cs="Arial"/>
          <w:b/>
          <w:sz w:val="24"/>
        </w:rPr>
        <w:t>1804810</w:t>
      </w:r>
    </w:p>
    <w:p w14:paraId="1D1CB4FD" w14:textId="77777777" w:rsidR="00680B9E" w:rsidRPr="00DA12F7" w:rsidRDefault="00680B9E" w:rsidP="00680B9E">
      <w:pPr>
        <w:tabs>
          <w:tab w:val="right" w:pos="9630"/>
        </w:tabs>
        <w:spacing w:after="0"/>
        <w:rPr>
          <w:rFonts w:ascii="Arial" w:hAnsi="Arial" w:cs="Arial"/>
          <w:b/>
          <w:sz w:val="24"/>
          <w:szCs w:val="24"/>
        </w:rPr>
      </w:pPr>
      <w:r w:rsidRPr="00E06EA6">
        <w:rPr>
          <w:rFonts w:ascii="Arial" w:hAnsi="Arial" w:cs="Arial"/>
          <w:b/>
          <w:sz w:val="24"/>
          <w:szCs w:val="24"/>
        </w:rPr>
        <w:t>Sanya, China, April 16</w:t>
      </w:r>
      <w:r w:rsidRPr="00E06EA6">
        <w:rPr>
          <w:rFonts w:ascii="Arial" w:hAnsi="Arial" w:cs="Arial"/>
          <w:b/>
          <w:sz w:val="24"/>
          <w:szCs w:val="24"/>
          <w:vertAlign w:val="superscript"/>
        </w:rPr>
        <w:t>th</w:t>
      </w:r>
      <w:r>
        <w:rPr>
          <w:rFonts w:ascii="Arial" w:hAnsi="Arial" w:cs="Arial"/>
          <w:b/>
          <w:sz w:val="24"/>
          <w:szCs w:val="24"/>
        </w:rPr>
        <w:t xml:space="preserve"> </w:t>
      </w:r>
      <w:r w:rsidRPr="00E06EA6">
        <w:rPr>
          <w:rFonts w:ascii="Arial" w:hAnsi="Arial" w:cs="Arial"/>
          <w:b/>
          <w:sz w:val="24"/>
          <w:szCs w:val="24"/>
        </w:rPr>
        <w:t>– 20</w:t>
      </w:r>
      <w:r w:rsidRPr="00E06EA6">
        <w:rPr>
          <w:rFonts w:ascii="Arial" w:hAnsi="Arial" w:cs="Arial"/>
          <w:b/>
          <w:sz w:val="24"/>
          <w:szCs w:val="24"/>
          <w:vertAlign w:val="superscript"/>
        </w:rPr>
        <w:t>th</w:t>
      </w:r>
      <w:r>
        <w:rPr>
          <w:rFonts w:ascii="Arial" w:hAnsi="Arial" w:cs="Arial"/>
          <w:b/>
          <w:sz w:val="24"/>
          <w:szCs w:val="24"/>
        </w:rPr>
        <w:t>,</w:t>
      </w:r>
      <w:r w:rsidRPr="00E06EA6">
        <w:rPr>
          <w:rFonts w:ascii="Arial" w:hAnsi="Arial" w:cs="Arial"/>
          <w:b/>
          <w:sz w:val="24"/>
          <w:szCs w:val="24"/>
        </w:rPr>
        <w:t xml:space="preserve"> 2018</w:t>
      </w:r>
    </w:p>
    <w:p w14:paraId="71580EA5" w14:textId="77777777" w:rsidR="00680B9E" w:rsidRPr="000A64D8" w:rsidRDefault="00680B9E" w:rsidP="00680B9E">
      <w:pPr>
        <w:pStyle w:val="Footer"/>
        <w:jc w:val="both"/>
        <w:rPr>
          <w:noProof w:val="0"/>
        </w:rPr>
      </w:pPr>
    </w:p>
    <w:p w14:paraId="5A36CDBF" w14:textId="7AF44D9E" w:rsidR="00680B9E" w:rsidRPr="000A64D8" w:rsidRDefault="00680B9E" w:rsidP="00680B9E">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Pr>
          <w:rFonts w:ascii="Arial" w:hAnsi="Arial"/>
          <w:sz w:val="24"/>
        </w:rPr>
        <w:t>7.1.3.4.2</w:t>
      </w:r>
    </w:p>
    <w:p w14:paraId="037FF155" w14:textId="77777777" w:rsidR="00680B9E" w:rsidRPr="000A64D8" w:rsidRDefault="00680B9E" w:rsidP="00680B9E">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5E59EE4B" w14:textId="414675E3" w:rsidR="00680B9E" w:rsidRPr="0007796D" w:rsidRDefault="00680B9E" w:rsidP="00680B9E">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Pr>
          <w:rFonts w:ascii="Arial" w:hAnsi="Arial"/>
          <w:sz w:val="22"/>
        </w:rPr>
        <w:t>Remaining Issues on CA</w:t>
      </w:r>
    </w:p>
    <w:p w14:paraId="3B1797BA" w14:textId="77777777" w:rsidR="00680B9E" w:rsidRDefault="00680B9E" w:rsidP="00680B9E">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Pr>
          <w:rFonts w:ascii="Arial" w:hAnsi="Arial"/>
          <w:sz w:val="24"/>
        </w:rPr>
        <w:t>/Decision</w:t>
      </w:r>
    </w:p>
    <w:p w14:paraId="5F9B6AB3" w14:textId="77777777" w:rsidR="00E4038C" w:rsidRDefault="00E4038C" w:rsidP="00E4038C">
      <w:pPr>
        <w:pStyle w:val="Heading1"/>
        <w:textAlignment w:val="auto"/>
      </w:pPr>
      <w:r>
        <w:t>Introduction</w:t>
      </w:r>
      <w:bookmarkEnd w:id="0"/>
    </w:p>
    <w:p w14:paraId="4AAFCC67" w14:textId="7EF9462D" w:rsidR="00E4038C" w:rsidRDefault="005F76BE" w:rsidP="00E4038C">
      <w:pPr>
        <w:spacing w:after="120"/>
      </w:pPr>
      <w:r>
        <w:t>This contribution</w:t>
      </w:r>
      <w:r w:rsidR="00E4038C">
        <w:t xml:space="preserve"> discuss</w:t>
      </w:r>
      <w:r>
        <w:t>es</w:t>
      </w:r>
      <w:r w:rsidR="00E4038C">
        <w:t xml:space="preserve"> </w:t>
      </w:r>
      <w:r w:rsidR="00C227E3">
        <w:t>issues in</w:t>
      </w:r>
      <w:r w:rsidR="00FE1FA1">
        <w:t xml:space="preserve"> HARQ-ACK, </w:t>
      </w:r>
      <w:r w:rsidR="00105EFB">
        <w:t xml:space="preserve">CA </w:t>
      </w:r>
      <w:r w:rsidR="00C227E3">
        <w:t>with mixed numerology</w:t>
      </w:r>
      <w:r w:rsidR="00FE1FA1">
        <w:t>, and SCell power saving</w:t>
      </w:r>
      <w:r w:rsidR="00C227E3">
        <w:t xml:space="preserve">. </w:t>
      </w:r>
    </w:p>
    <w:p w14:paraId="012CCAE0" w14:textId="31754FB1" w:rsidR="00832CA7" w:rsidRDefault="00832CA7" w:rsidP="00832CA7">
      <w:pPr>
        <w:overflowPunct/>
        <w:autoSpaceDE/>
        <w:autoSpaceDN/>
        <w:adjustRightInd/>
        <w:spacing w:after="0"/>
        <w:textAlignment w:val="auto"/>
        <w:rPr>
          <w:lang w:val="en-GB"/>
        </w:rPr>
      </w:pPr>
      <w:r>
        <w:rPr>
          <w:lang w:val="en-GB"/>
        </w:rPr>
        <w:t xml:space="preserve">During </w:t>
      </w:r>
      <w:r w:rsidRPr="00832CA7">
        <w:rPr>
          <w:lang w:val="en-GB"/>
        </w:rPr>
        <w:t>RAN#78 plenary meeting</w:t>
      </w:r>
      <w:r>
        <w:rPr>
          <w:lang w:val="en-GB"/>
        </w:rPr>
        <w:t>, the following decision has been made:</w:t>
      </w:r>
    </w:p>
    <w:p w14:paraId="7C7F086C" w14:textId="5BF6FAE0" w:rsidR="00832CA7" w:rsidRPr="000F5C75" w:rsidRDefault="00832CA7" w:rsidP="00C359AA">
      <w:pPr>
        <w:pStyle w:val="ListParagraph"/>
        <w:numPr>
          <w:ilvl w:val="0"/>
          <w:numId w:val="7"/>
        </w:numPr>
        <w:spacing w:after="0"/>
      </w:pPr>
      <w:r w:rsidRPr="00832CA7">
        <w:t>For NR-NR CA, finalization of the work to enable up to 2 different numerologies within the same PUCCH group (PUCCH sent on the CC with smaller SCS) in RAN1 in Q1, and in RAN4 (Core) for Q2, for the December drop</w:t>
      </w:r>
    </w:p>
    <w:p w14:paraId="5EE1D93F" w14:textId="77777777" w:rsidR="00E77B90" w:rsidRDefault="00E77B90" w:rsidP="00E77B90">
      <w:pPr>
        <w:tabs>
          <w:tab w:val="left" w:pos="720"/>
        </w:tabs>
        <w:overflowPunct/>
        <w:autoSpaceDE/>
        <w:autoSpaceDN/>
        <w:adjustRightInd/>
        <w:spacing w:after="120"/>
        <w:textAlignment w:val="auto"/>
      </w:pPr>
    </w:p>
    <w:p w14:paraId="3376174C" w14:textId="33D11B45" w:rsidR="003F0666" w:rsidRDefault="00FE1FA1" w:rsidP="00E4038C">
      <w:pPr>
        <w:spacing w:after="120"/>
      </w:pPr>
      <w:r>
        <w:t xml:space="preserve">Section </w:t>
      </w:r>
      <w:r>
        <w:fldChar w:fldCharType="begin"/>
      </w:r>
      <w:r>
        <w:instrText xml:space="preserve"> REF _Ref510803863 \r \h </w:instrText>
      </w:r>
      <w:r>
        <w:fldChar w:fldCharType="separate"/>
      </w:r>
      <w:r w:rsidR="00ED5580">
        <w:t>2.2</w:t>
      </w:r>
      <w:r>
        <w:fldChar w:fldCharType="end"/>
      </w:r>
      <w:r>
        <w:t xml:space="preserve"> is mostly based on resubmission from </w:t>
      </w:r>
      <w:r w:rsidRPr="00FE1FA1">
        <w:t>R1-1802845</w:t>
      </w:r>
      <w:r w:rsidR="00663A5B">
        <w:t xml:space="preserve">, with some </w:t>
      </w:r>
      <w:r>
        <w:t xml:space="preserve">revised / </w:t>
      </w:r>
      <w:r w:rsidR="00663A5B">
        <w:t>new material</w:t>
      </w:r>
      <w:r w:rsidR="00387D4C">
        <w:t xml:space="preserve">. </w:t>
      </w:r>
      <w:r>
        <w:t xml:space="preserve">Section </w:t>
      </w:r>
      <w:r>
        <w:fldChar w:fldCharType="begin"/>
      </w:r>
      <w:r>
        <w:instrText xml:space="preserve"> REF _Ref510803943 \r \h </w:instrText>
      </w:r>
      <w:r>
        <w:fldChar w:fldCharType="separate"/>
      </w:r>
      <w:r w:rsidR="00ED5580">
        <w:t>2.1.3</w:t>
      </w:r>
      <w:r>
        <w:fldChar w:fldCharType="end"/>
      </w:r>
      <w:r>
        <w:t xml:space="preserve"> and Section </w:t>
      </w:r>
      <w:r>
        <w:fldChar w:fldCharType="begin"/>
      </w:r>
      <w:r>
        <w:instrText xml:space="preserve"> REF _Ref510803949 \r \h </w:instrText>
      </w:r>
      <w:r>
        <w:fldChar w:fldCharType="separate"/>
      </w:r>
      <w:r w:rsidR="00ED5580">
        <w:t>2.3</w:t>
      </w:r>
      <w:r>
        <w:fldChar w:fldCharType="end"/>
      </w:r>
      <w:r>
        <w:t xml:space="preserve"> are resubmission from </w:t>
      </w:r>
      <w:r w:rsidRPr="00FE1FA1">
        <w:t>R1-1802845</w:t>
      </w:r>
      <w:r w:rsidR="001B08BE">
        <w:t>.</w:t>
      </w:r>
    </w:p>
    <w:p w14:paraId="47DFB039" w14:textId="77777777" w:rsidR="00044EDB" w:rsidRDefault="00044EDB" w:rsidP="005C2F71">
      <w:pPr>
        <w:pStyle w:val="Heading1"/>
      </w:pPr>
      <w:r>
        <w:t>Discussion</w:t>
      </w:r>
    </w:p>
    <w:p w14:paraId="000A7CD7" w14:textId="2478C30E" w:rsidR="005C2F71" w:rsidRDefault="005C2F71" w:rsidP="00044EDB">
      <w:pPr>
        <w:pStyle w:val="Heading2"/>
      </w:pPr>
      <w:r>
        <w:t>HARQ-ACK</w:t>
      </w:r>
      <w:r w:rsidR="00044EDB">
        <w:t xml:space="preserve"> Issues</w:t>
      </w:r>
    </w:p>
    <w:p w14:paraId="30C27427" w14:textId="6F957385" w:rsidR="001A7FBA" w:rsidRDefault="0063075B" w:rsidP="005C2F71">
      <w:pPr>
        <w:pStyle w:val="Heading3"/>
      </w:pPr>
      <w:r>
        <w:t>HARQ-ACK transmission after BWP switch</w:t>
      </w:r>
    </w:p>
    <w:p w14:paraId="23423F4B" w14:textId="77777777" w:rsidR="009111DD" w:rsidRDefault="009111DD" w:rsidP="009111DD">
      <w:pPr>
        <w:rPr>
          <w:lang w:val="en-GB"/>
        </w:rPr>
      </w:pPr>
      <w:r>
        <w:rPr>
          <w:lang w:val="en-GB"/>
        </w:rPr>
        <w:t>In RAN1 #91, the following was agreed in BWP agenda item regarding whether to carry HARQ-ACK transmission over BWP switch:</w:t>
      </w:r>
    </w:p>
    <w:p w14:paraId="36106801" w14:textId="5AE5A386" w:rsidR="009836DE" w:rsidRPr="00AF1A70" w:rsidRDefault="009836DE" w:rsidP="009836DE">
      <w:pPr>
        <w:pStyle w:val="ListParagraph"/>
        <w:numPr>
          <w:ilvl w:val="0"/>
          <w:numId w:val="7"/>
        </w:numPr>
        <w:spacing w:after="0"/>
        <w:rPr>
          <w:lang w:eastAsia="x-none"/>
        </w:rPr>
      </w:pPr>
      <w:r w:rsidRPr="00267FE3">
        <w:t>A UE is not expected to transmit HARQ-ACK if a UE’s active UL BWP is switched between the reception of the corresponding DL assignment and the time of HARQ-ACK transmission at least for the paired spectrum</w:t>
      </w:r>
      <w:r w:rsidRPr="00AF1A70">
        <w:rPr>
          <w:lang w:eastAsia="x-none"/>
        </w:rPr>
        <w:t xml:space="preserve"> </w:t>
      </w:r>
    </w:p>
    <w:p w14:paraId="79B8754C" w14:textId="77777777" w:rsidR="00F73010" w:rsidRDefault="00F73010" w:rsidP="001A7FBA">
      <w:pPr>
        <w:rPr>
          <w:lang w:val="en-GB"/>
        </w:rPr>
      </w:pPr>
    </w:p>
    <w:p w14:paraId="1B80BD4E" w14:textId="48AB9679" w:rsidR="001A7FBA" w:rsidRDefault="00F4786E" w:rsidP="001A7FBA">
      <w:pPr>
        <w:rPr>
          <w:lang w:val="en-GB"/>
        </w:rPr>
      </w:pPr>
      <w:r>
        <w:rPr>
          <w:lang w:val="en-GB"/>
        </w:rPr>
        <w:t xml:space="preserve">In RAN1 #92, </w:t>
      </w:r>
      <w:r w:rsidR="009111DD">
        <w:rPr>
          <w:lang w:val="en-GB"/>
        </w:rPr>
        <w:t>the following a</w:t>
      </w:r>
      <w:r>
        <w:rPr>
          <w:lang w:val="en-GB"/>
        </w:rPr>
        <w:t xml:space="preserve">greement was </w:t>
      </w:r>
      <w:r w:rsidR="009111DD">
        <w:rPr>
          <w:lang w:val="en-GB"/>
        </w:rPr>
        <w:t>achieved in CA agenda item</w:t>
      </w:r>
      <w:r>
        <w:rPr>
          <w:lang w:val="en-GB"/>
        </w:rPr>
        <w:t>:</w:t>
      </w:r>
    </w:p>
    <w:p w14:paraId="73D07E88" w14:textId="77777777" w:rsidR="00267FE3" w:rsidRPr="00AF1A70" w:rsidRDefault="00267FE3" w:rsidP="009836DE">
      <w:pPr>
        <w:pStyle w:val="ListParagraph"/>
        <w:numPr>
          <w:ilvl w:val="0"/>
          <w:numId w:val="7"/>
        </w:numPr>
        <w:spacing w:after="0"/>
        <w:rPr>
          <w:lang w:eastAsia="x-none"/>
        </w:rPr>
      </w:pPr>
      <w:r w:rsidRPr="00AF1A70">
        <w:rPr>
          <w:lang w:eastAsia="x-none"/>
        </w:rPr>
        <w:t xml:space="preserve">When a UE is configured with Semi-static HARQ-ACK Codebook, HARQ-ACK corresponding to PDSCH transmission(s) of the DL BWP before DL and/or UL BWP switching is not transmitted by the UE after the switching </w:t>
      </w:r>
    </w:p>
    <w:p w14:paraId="48777C97" w14:textId="7DE7EFF6" w:rsidR="00267FE3" w:rsidRDefault="00267FE3" w:rsidP="001A7FBA">
      <w:pPr>
        <w:rPr>
          <w:lang w:val="en-GB"/>
        </w:rPr>
      </w:pPr>
    </w:p>
    <w:p w14:paraId="2CB2D032" w14:textId="5A70884E" w:rsidR="00267FE3" w:rsidRDefault="00726EA1" w:rsidP="001A7FBA">
      <w:pPr>
        <w:rPr>
          <w:lang w:val="en-GB"/>
        </w:rPr>
      </w:pPr>
      <w:r>
        <w:rPr>
          <w:lang w:val="en-GB"/>
        </w:rPr>
        <w:t>Combining</w:t>
      </w:r>
      <w:r w:rsidR="00267FE3">
        <w:rPr>
          <w:lang w:val="en-GB"/>
        </w:rPr>
        <w:t xml:space="preserve"> above agreements, </w:t>
      </w:r>
      <w:r>
        <w:rPr>
          <w:lang w:val="en-GB"/>
        </w:rPr>
        <w:t xml:space="preserve">it has been decided that HARQ-ACK is not transmitted for </w:t>
      </w:r>
      <w:r w:rsidR="00267FE3">
        <w:rPr>
          <w:lang w:val="en-GB"/>
        </w:rPr>
        <w:t xml:space="preserve">the following </w:t>
      </w:r>
      <w:r>
        <w:rPr>
          <w:lang w:val="en-GB"/>
        </w:rPr>
        <w:t>cases marked with “X”</w:t>
      </w:r>
      <w:r w:rsidR="00534699">
        <w:rPr>
          <w:lang w:val="en-GB"/>
        </w:rPr>
        <w:t>; The undecided cases are marked with “?”</w:t>
      </w:r>
      <w:r w:rsidR="00267FE3">
        <w:rPr>
          <w:lang w:val="en-GB"/>
        </w:rPr>
        <w:t>:</w:t>
      </w:r>
    </w:p>
    <w:tbl>
      <w:tblPr>
        <w:tblStyle w:val="TableGrid"/>
        <w:tblW w:w="0" w:type="auto"/>
        <w:tblLook w:val="04A0" w:firstRow="1" w:lastRow="0" w:firstColumn="1" w:lastColumn="0" w:noHBand="0" w:noVBand="1"/>
      </w:tblPr>
      <w:tblGrid>
        <w:gridCol w:w="4045"/>
        <w:gridCol w:w="2790"/>
        <w:gridCol w:w="2793"/>
      </w:tblGrid>
      <w:tr w:rsidR="00267FE3" w14:paraId="667B7908" w14:textId="77777777" w:rsidTr="000E311C">
        <w:trPr>
          <w:cantSplit/>
        </w:trPr>
        <w:tc>
          <w:tcPr>
            <w:tcW w:w="4045" w:type="dxa"/>
          </w:tcPr>
          <w:p w14:paraId="1566EC84" w14:textId="77777777" w:rsidR="00267FE3" w:rsidRDefault="00267FE3" w:rsidP="001A7FBA">
            <w:pPr>
              <w:rPr>
                <w:lang w:val="en-GB"/>
              </w:rPr>
            </w:pPr>
          </w:p>
        </w:tc>
        <w:tc>
          <w:tcPr>
            <w:tcW w:w="2790" w:type="dxa"/>
          </w:tcPr>
          <w:p w14:paraId="288C4F8F" w14:textId="45FC731E" w:rsidR="00267FE3" w:rsidRDefault="00726EA1" w:rsidP="001A7FBA">
            <w:pPr>
              <w:rPr>
                <w:lang w:val="en-GB"/>
              </w:rPr>
            </w:pPr>
            <w:r>
              <w:rPr>
                <w:lang w:val="en-GB"/>
              </w:rPr>
              <w:t>Semi-static codebook</w:t>
            </w:r>
          </w:p>
        </w:tc>
        <w:tc>
          <w:tcPr>
            <w:tcW w:w="2793" w:type="dxa"/>
          </w:tcPr>
          <w:p w14:paraId="29D4DEFE" w14:textId="2644C10D" w:rsidR="00267FE3" w:rsidRDefault="00726EA1" w:rsidP="001A7FBA">
            <w:pPr>
              <w:rPr>
                <w:lang w:val="en-GB"/>
              </w:rPr>
            </w:pPr>
            <w:r>
              <w:rPr>
                <w:lang w:val="en-GB"/>
              </w:rPr>
              <w:t>Dynamic codebook</w:t>
            </w:r>
          </w:p>
        </w:tc>
      </w:tr>
      <w:tr w:rsidR="00267FE3" w14:paraId="52CD83B9" w14:textId="77777777" w:rsidTr="000E311C">
        <w:trPr>
          <w:cantSplit/>
        </w:trPr>
        <w:tc>
          <w:tcPr>
            <w:tcW w:w="4045" w:type="dxa"/>
          </w:tcPr>
          <w:p w14:paraId="29DF220B" w14:textId="59D5384C" w:rsidR="00726EA1" w:rsidRDefault="00726EA1" w:rsidP="001A7FBA">
            <w:pPr>
              <w:rPr>
                <w:lang w:val="en-GB"/>
              </w:rPr>
            </w:pPr>
            <w:r>
              <w:rPr>
                <w:lang w:val="en-GB"/>
              </w:rPr>
              <w:t>Paired spectrum: UL BWP switched</w:t>
            </w:r>
          </w:p>
        </w:tc>
        <w:tc>
          <w:tcPr>
            <w:tcW w:w="2790" w:type="dxa"/>
          </w:tcPr>
          <w:p w14:paraId="7029B651" w14:textId="4ED70A4E" w:rsidR="00267FE3" w:rsidRDefault="00726EA1" w:rsidP="001A7FBA">
            <w:pPr>
              <w:rPr>
                <w:lang w:val="en-GB"/>
              </w:rPr>
            </w:pPr>
            <w:r>
              <w:rPr>
                <w:lang w:val="en-GB"/>
              </w:rPr>
              <w:t>X</w:t>
            </w:r>
          </w:p>
        </w:tc>
        <w:tc>
          <w:tcPr>
            <w:tcW w:w="2793" w:type="dxa"/>
          </w:tcPr>
          <w:p w14:paraId="0B4435B8" w14:textId="4D133014" w:rsidR="00267FE3" w:rsidRDefault="00726EA1" w:rsidP="001A7FBA">
            <w:pPr>
              <w:rPr>
                <w:lang w:val="en-GB"/>
              </w:rPr>
            </w:pPr>
            <w:r>
              <w:rPr>
                <w:lang w:val="en-GB"/>
              </w:rPr>
              <w:t>X</w:t>
            </w:r>
          </w:p>
        </w:tc>
      </w:tr>
      <w:tr w:rsidR="00726EA1" w14:paraId="62CE30A2" w14:textId="77777777" w:rsidTr="000E311C">
        <w:trPr>
          <w:cantSplit/>
        </w:trPr>
        <w:tc>
          <w:tcPr>
            <w:tcW w:w="4045" w:type="dxa"/>
          </w:tcPr>
          <w:p w14:paraId="28444213" w14:textId="15487715" w:rsidR="00726EA1" w:rsidRDefault="00726EA1" w:rsidP="001A7FBA">
            <w:pPr>
              <w:rPr>
                <w:lang w:val="en-GB"/>
              </w:rPr>
            </w:pPr>
            <w:r>
              <w:rPr>
                <w:lang w:val="en-GB"/>
              </w:rPr>
              <w:t>Paired spectrum: DL BWP switched</w:t>
            </w:r>
          </w:p>
        </w:tc>
        <w:tc>
          <w:tcPr>
            <w:tcW w:w="2790" w:type="dxa"/>
          </w:tcPr>
          <w:p w14:paraId="5DA79669" w14:textId="180D30BB" w:rsidR="00726EA1" w:rsidRDefault="00726EA1" w:rsidP="001A7FBA">
            <w:pPr>
              <w:rPr>
                <w:lang w:val="en-GB"/>
              </w:rPr>
            </w:pPr>
            <w:r>
              <w:rPr>
                <w:lang w:val="en-GB"/>
              </w:rPr>
              <w:t>X</w:t>
            </w:r>
          </w:p>
        </w:tc>
        <w:tc>
          <w:tcPr>
            <w:tcW w:w="2793" w:type="dxa"/>
          </w:tcPr>
          <w:p w14:paraId="01422D3D" w14:textId="0D20C4D5" w:rsidR="00726EA1" w:rsidRDefault="00534699" w:rsidP="001A7FBA">
            <w:pPr>
              <w:rPr>
                <w:lang w:val="en-GB"/>
              </w:rPr>
            </w:pPr>
            <w:r>
              <w:rPr>
                <w:lang w:val="en-GB"/>
              </w:rPr>
              <w:t>?</w:t>
            </w:r>
          </w:p>
        </w:tc>
      </w:tr>
      <w:tr w:rsidR="00267FE3" w14:paraId="70A964EE" w14:textId="77777777" w:rsidTr="000E311C">
        <w:trPr>
          <w:cantSplit/>
        </w:trPr>
        <w:tc>
          <w:tcPr>
            <w:tcW w:w="4045" w:type="dxa"/>
          </w:tcPr>
          <w:p w14:paraId="31432CAB" w14:textId="7D7A35CA" w:rsidR="00267FE3" w:rsidRDefault="00726EA1" w:rsidP="001A7FBA">
            <w:pPr>
              <w:rPr>
                <w:lang w:val="en-GB"/>
              </w:rPr>
            </w:pPr>
            <w:r>
              <w:rPr>
                <w:lang w:val="en-GB"/>
              </w:rPr>
              <w:lastRenderedPageBreak/>
              <w:t>Unpaired spectrum</w:t>
            </w:r>
          </w:p>
        </w:tc>
        <w:tc>
          <w:tcPr>
            <w:tcW w:w="2790" w:type="dxa"/>
          </w:tcPr>
          <w:p w14:paraId="79157B80" w14:textId="2AB33ACA" w:rsidR="00267FE3" w:rsidRDefault="00726EA1" w:rsidP="001A7FBA">
            <w:pPr>
              <w:rPr>
                <w:lang w:val="en-GB"/>
              </w:rPr>
            </w:pPr>
            <w:r>
              <w:rPr>
                <w:lang w:val="en-GB"/>
              </w:rPr>
              <w:t>X</w:t>
            </w:r>
          </w:p>
        </w:tc>
        <w:tc>
          <w:tcPr>
            <w:tcW w:w="2793" w:type="dxa"/>
          </w:tcPr>
          <w:p w14:paraId="482FE678" w14:textId="3D2BE13E" w:rsidR="00267FE3" w:rsidRDefault="00534699" w:rsidP="001A7FBA">
            <w:pPr>
              <w:rPr>
                <w:lang w:val="en-GB"/>
              </w:rPr>
            </w:pPr>
            <w:r>
              <w:rPr>
                <w:lang w:val="en-GB"/>
              </w:rPr>
              <w:t>?</w:t>
            </w:r>
          </w:p>
        </w:tc>
      </w:tr>
    </w:tbl>
    <w:p w14:paraId="082CEC78" w14:textId="77777777" w:rsidR="00267FE3" w:rsidRDefault="00267FE3" w:rsidP="001A7FBA">
      <w:pPr>
        <w:rPr>
          <w:lang w:val="en-GB"/>
        </w:rPr>
      </w:pPr>
    </w:p>
    <w:p w14:paraId="6DBC3A1A" w14:textId="44B36CA4" w:rsidR="00726EA1" w:rsidRDefault="00726EA1" w:rsidP="001A7FBA">
      <w:pPr>
        <w:rPr>
          <w:lang w:val="en-GB"/>
        </w:rPr>
      </w:pPr>
      <w:r>
        <w:rPr>
          <w:lang w:val="en-GB"/>
        </w:rPr>
        <w:t xml:space="preserve">For uniformity, we further propose to </w:t>
      </w:r>
      <w:r w:rsidR="006117DE">
        <w:rPr>
          <w:lang w:val="en-GB"/>
        </w:rPr>
        <w:t>revise</w:t>
      </w:r>
      <w:r>
        <w:rPr>
          <w:lang w:val="en-GB"/>
        </w:rPr>
        <w:t xml:space="preserve"> </w:t>
      </w:r>
      <w:r w:rsidR="003C246D">
        <w:rPr>
          <w:lang w:val="en-GB"/>
        </w:rPr>
        <w:t xml:space="preserve">and consolidate </w:t>
      </w:r>
      <w:r>
        <w:rPr>
          <w:lang w:val="en-GB"/>
        </w:rPr>
        <w:t xml:space="preserve">the agreements to </w:t>
      </w:r>
      <w:r w:rsidR="006117DE">
        <w:rPr>
          <w:lang w:val="en-GB"/>
        </w:rPr>
        <w:t xml:space="preserve">also </w:t>
      </w:r>
      <w:r>
        <w:rPr>
          <w:lang w:val="en-GB"/>
        </w:rPr>
        <w:t>cover the undecided cases. The simplest way to express this is to extend the RAN1 #92 agreement also to dynamic HARQ-ACK codebook.</w:t>
      </w:r>
    </w:p>
    <w:p w14:paraId="073C607C" w14:textId="4889902F" w:rsidR="00726EA1" w:rsidRPr="006117DE" w:rsidRDefault="00726EA1" w:rsidP="00726EA1">
      <w:pPr>
        <w:pStyle w:val="Caption"/>
      </w:pPr>
      <w:bookmarkStart w:id="3" w:name="_Toc510571486"/>
      <w:bookmarkStart w:id="4" w:name="_Toc510655940"/>
      <w:bookmarkStart w:id="5" w:name="_Toc510686220"/>
      <w:bookmarkStart w:id="6" w:name="_Toc510786118"/>
      <w:bookmarkStart w:id="7" w:name="_Toc510788212"/>
      <w:bookmarkStart w:id="8" w:name="_Toc510805182"/>
      <w:bookmarkStart w:id="9" w:name="_Toc510805334"/>
      <w:bookmarkStart w:id="10" w:name="_Toc510805573"/>
      <w:bookmarkStart w:id="11" w:name="_Toc510814006"/>
      <w:r>
        <w:t xml:space="preserve">Proposal </w:t>
      </w:r>
      <w:r w:rsidR="000E311C">
        <w:fldChar w:fldCharType="begin"/>
      </w:r>
      <w:r w:rsidR="000E311C">
        <w:instrText xml:space="preserve"> SEQ Proposal \* ARABIC </w:instrText>
      </w:r>
      <w:r w:rsidR="000E311C">
        <w:fldChar w:fldCharType="separate"/>
      </w:r>
      <w:r w:rsidR="00ED5580">
        <w:rPr>
          <w:noProof/>
        </w:rPr>
        <w:t>1</w:t>
      </w:r>
      <w:r w:rsidR="000E311C">
        <w:rPr>
          <w:noProof/>
        </w:rPr>
        <w:fldChar w:fldCharType="end"/>
      </w:r>
      <w:r>
        <w:t xml:space="preserve">: </w:t>
      </w:r>
      <w:r w:rsidR="006117DE">
        <w:t xml:space="preserve">Revise RAN1 #92 agreement so that it applies </w:t>
      </w:r>
      <w:r w:rsidR="005C6CEB">
        <w:t>regardless of</w:t>
      </w:r>
      <w:r w:rsidR="006117DE">
        <w:t xml:space="preserve"> codebook </w:t>
      </w:r>
      <w:r w:rsidR="005C6CEB">
        <w:t>type</w:t>
      </w:r>
      <w:r w:rsidR="006117DE">
        <w:t xml:space="preserve">: </w:t>
      </w:r>
      <w:r w:rsidRPr="006117DE">
        <w:rPr>
          <w:strike/>
        </w:rPr>
        <w:t xml:space="preserve">When a UE is configured with </w:t>
      </w:r>
      <w:r w:rsidR="006117DE" w:rsidRPr="006117DE">
        <w:rPr>
          <w:strike/>
        </w:rPr>
        <w:t xml:space="preserve">semi-static </w:t>
      </w:r>
      <w:r w:rsidRPr="006117DE">
        <w:rPr>
          <w:strike/>
        </w:rPr>
        <w:t>HARQ-ACK codebook,</w:t>
      </w:r>
      <w:r>
        <w:t xml:space="preserve"> HARQ-ACK corresponding to PDSCH transmission(s) of the DL BWP before DL and/or UL BWP switching is not transmitted by the UE after the switching</w:t>
      </w:r>
      <w:bookmarkEnd w:id="3"/>
      <w:bookmarkEnd w:id="4"/>
      <w:bookmarkEnd w:id="5"/>
      <w:bookmarkEnd w:id="6"/>
      <w:bookmarkEnd w:id="7"/>
      <w:bookmarkEnd w:id="8"/>
      <w:bookmarkEnd w:id="9"/>
      <w:bookmarkEnd w:id="10"/>
      <w:bookmarkEnd w:id="11"/>
    </w:p>
    <w:p w14:paraId="7E5AC00C" w14:textId="77777777" w:rsidR="00726EA1" w:rsidRPr="001A7FBA" w:rsidRDefault="00726EA1" w:rsidP="001A7FBA">
      <w:pPr>
        <w:rPr>
          <w:lang w:val="en-GB"/>
        </w:rPr>
      </w:pPr>
    </w:p>
    <w:p w14:paraId="2D63EF31" w14:textId="353A0206" w:rsidR="005C2F71" w:rsidRPr="00CC124C" w:rsidRDefault="00E723E6" w:rsidP="005C2F71">
      <w:pPr>
        <w:pStyle w:val="Heading3"/>
      </w:pPr>
      <w:r>
        <w:t>Working assumption on s</w:t>
      </w:r>
      <w:r w:rsidR="005C2F71">
        <w:t>emi-static HARQ-ACK codebook</w:t>
      </w:r>
    </w:p>
    <w:p w14:paraId="2977ABBF" w14:textId="527AE749" w:rsidR="005C2F71" w:rsidRPr="00CC124C" w:rsidRDefault="005C2F71" w:rsidP="005C2F71">
      <w:pPr>
        <w:jc w:val="both"/>
        <w:rPr>
          <w:lang w:eastAsia="x-none"/>
        </w:rPr>
      </w:pPr>
      <w:r w:rsidRPr="00CC124C">
        <w:rPr>
          <w:lang w:eastAsia="x-none"/>
        </w:rPr>
        <w:t xml:space="preserve">In RAN1 </w:t>
      </w:r>
      <w:r>
        <w:rPr>
          <w:lang w:eastAsia="x-none"/>
        </w:rPr>
        <w:t>#92</w:t>
      </w:r>
      <w:r w:rsidRPr="00CC124C">
        <w:rPr>
          <w:lang w:eastAsia="x-none"/>
        </w:rPr>
        <w:t xml:space="preserve">, </w:t>
      </w:r>
      <w:r>
        <w:rPr>
          <w:lang w:eastAsia="x-none"/>
        </w:rPr>
        <w:t>the following was agreed</w:t>
      </w:r>
      <w:r w:rsidR="00D27351">
        <w:rPr>
          <w:lang w:eastAsia="x-none"/>
        </w:rPr>
        <w:t xml:space="preserve"> </w:t>
      </w:r>
      <w:r w:rsidR="00D27351">
        <w:rPr>
          <w:lang w:eastAsia="x-none"/>
        </w:rPr>
        <w:fldChar w:fldCharType="begin"/>
      </w:r>
      <w:r w:rsidR="00D27351">
        <w:rPr>
          <w:lang w:eastAsia="x-none"/>
        </w:rPr>
        <w:instrText xml:space="preserve"> REF _Ref510358192 \r \h </w:instrText>
      </w:r>
      <w:r w:rsidR="00D27351">
        <w:rPr>
          <w:lang w:eastAsia="x-none"/>
        </w:rPr>
      </w:r>
      <w:r w:rsidR="00D27351">
        <w:rPr>
          <w:lang w:eastAsia="x-none"/>
        </w:rPr>
        <w:fldChar w:fldCharType="separate"/>
      </w:r>
      <w:r w:rsidR="00ED5580">
        <w:rPr>
          <w:lang w:eastAsia="x-none"/>
        </w:rPr>
        <w:t>[5]</w:t>
      </w:r>
      <w:r w:rsidR="00D27351">
        <w:rPr>
          <w:lang w:eastAsia="x-none"/>
        </w:rPr>
        <w:fldChar w:fldCharType="end"/>
      </w:r>
      <w:r>
        <w:rPr>
          <w:lang w:eastAsia="x-none"/>
        </w:rPr>
        <w:t>:</w:t>
      </w:r>
    </w:p>
    <w:p w14:paraId="6F048B56" w14:textId="77777777" w:rsidR="005C2F71" w:rsidRPr="00AF1A70" w:rsidRDefault="005C2F71" w:rsidP="005C2F71">
      <w:pPr>
        <w:rPr>
          <w:highlight w:val="darkYellow"/>
          <w:lang w:eastAsia="x-none"/>
        </w:rPr>
      </w:pPr>
      <w:r w:rsidRPr="00AF1A70">
        <w:rPr>
          <w:highlight w:val="darkYellow"/>
          <w:lang w:eastAsia="x-none"/>
        </w:rPr>
        <w:t>Working assumption:</w:t>
      </w:r>
    </w:p>
    <w:p w14:paraId="1C6250FD" w14:textId="77777777" w:rsidR="005C2F71" w:rsidRPr="00AF1A70" w:rsidRDefault="005C2F71" w:rsidP="005C2F71">
      <w:pPr>
        <w:numPr>
          <w:ilvl w:val="0"/>
          <w:numId w:val="11"/>
        </w:numPr>
        <w:overflowPunct/>
        <w:autoSpaceDE/>
        <w:autoSpaceDN/>
        <w:adjustRightInd/>
        <w:spacing w:after="0"/>
        <w:textAlignment w:val="auto"/>
        <w:rPr>
          <w:lang w:eastAsia="x-none"/>
        </w:rPr>
      </w:pPr>
      <w:r w:rsidRPr="00AF1A70">
        <w:rPr>
          <w:lang w:eastAsia="x-none"/>
        </w:rPr>
        <w:t>When a UE is configured with semi-static HARQ-ACK Codebook, on a per cell basis:</w:t>
      </w:r>
    </w:p>
    <w:p w14:paraId="02C9BF5F" w14:textId="77777777" w:rsidR="005C2F71" w:rsidRPr="00D27351" w:rsidRDefault="005C2F71" w:rsidP="005C2F71">
      <w:pPr>
        <w:numPr>
          <w:ilvl w:val="1"/>
          <w:numId w:val="12"/>
        </w:numPr>
        <w:overflowPunct/>
        <w:autoSpaceDE/>
        <w:autoSpaceDN/>
        <w:adjustRightInd/>
        <w:spacing w:after="0"/>
        <w:textAlignment w:val="auto"/>
        <w:rPr>
          <w:highlight w:val="yellow"/>
          <w:lang w:eastAsia="x-none"/>
        </w:rPr>
      </w:pPr>
      <w:r w:rsidRPr="00D27351">
        <w:rPr>
          <w:highlight w:val="yellow"/>
          <w:lang w:eastAsia="x-none"/>
        </w:rPr>
        <w:t xml:space="preserve">If the UE indicates capability to receive more than one unicast PDSCH per slot, it assumes a max number of non-overlapping candidate unicast PDSCH occasions per slot as determined by the SLIV in the configured pdsch-symbolAllocation table. </w:t>
      </w:r>
    </w:p>
    <w:p w14:paraId="10BF619A" w14:textId="77777777" w:rsidR="005C2F71" w:rsidRPr="00AF1A70" w:rsidRDefault="005C2F71" w:rsidP="005C2F71">
      <w:pPr>
        <w:numPr>
          <w:ilvl w:val="1"/>
          <w:numId w:val="12"/>
        </w:numPr>
        <w:overflowPunct/>
        <w:autoSpaceDE/>
        <w:autoSpaceDN/>
        <w:adjustRightInd/>
        <w:spacing w:after="0"/>
        <w:textAlignment w:val="auto"/>
        <w:rPr>
          <w:lang w:eastAsia="x-none"/>
        </w:rPr>
      </w:pPr>
      <w:r w:rsidRPr="00AF1A70">
        <w:rPr>
          <w:lang w:eastAsia="x-none"/>
        </w:rPr>
        <w:t xml:space="preserve">Otherwise, the UE is expected to receive only one unicast PDSCH per slot, and HARQ-ACK association set assumes one unicast PDSCH per slot; </w:t>
      </w:r>
    </w:p>
    <w:p w14:paraId="19100C5E" w14:textId="77777777" w:rsidR="005C2F71" w:rsidRPr="00AF1A70" w:rsidRDefault="005C2F71" w:rsidP="005C2F71">
      <w:pPr>
        <w:numPr>
          <w:ilvl w:val="1"/>
          <w:numId w:val="12"/>
        </w:numPr>
        <w:overflowPunct/>
        <w:autoSpaceDE/>
        <w:autoSpaceDN/>
        <w:adjustRightInd/>
        <w:spacing w:after="0"/>
        <w:textAlignment w:val="auto"/>
        <w:rPr>
          <w:lang w:eastAsia="x-none"/>
        </w:rPr>
      </w:pPr>
      <w:r w:rsidRPr="00AF1A70">
        <w:rPr>
          <w:lang w:eastAsia="x-none"/>
        </w:rPr>
        <w:t>Handling HARQ-ACK for PDCCH for SPS release follows the same way as in LTE</w:t>
      </w:r>
    </w:p>
    <w:p w14:paraId="5B0E055A" w14:textId="77777777" w:rsidR="00D27351" w:rsidRDefault="00D27351" w:rsidP="005C2F71">
      <w:pPr>
        <w:pStyle w:val="Caption"/>
        <w:jc w:val="both"/>
        <w:rPr>
          <w:b w:val="0"/>
        </w:rPr>
      </w:pPr>
    </w:p>
    <w:p w14:paraId="24CBB61F" w14:textId="14820CF6" w:rsidR="00D27351" w:rsidRDefault="00D27351" w:rsidP="00D27351">
      <w:pPr>
        <w:pStyle w:val="Caption"/>
        <w:jc w:val="both"/>
        <w:rPr>
          <w:b w:val="0"/>
        </w:rPr>
      </w:pPr>
      <w:r>
        <w:rPr>
          <w:b w:val="0"/>
        </w:rPr>
        <w:t xml:space="preserve">In this section, the highlighted portion is discussed in more detail. </w:t>
      </w:r>
      <w:r w:rsidRPr="00D27351">
        <w:rPr>
          <w:b w:val="0"/>
        </w:rPr>
        <w:t>There are a few potential issues:</w:t>
      </w:r>
    </w:p>
    <w:p w14:paraId="1CF903F2" w14:textId="1600F46D" w:rsidR="00CD6F64" w:rsidRDefault="00D27351" w:rsidP="00CD6F64">
      <w:pPr>
        <w:pStyle w:val="ListParagraph"/>
        <w:numPr>
          <w:ilvl w:val="0"/>
          <w:numId w:val="22"/>
        </w:numPr>
      </w:pPr>
      <w:r>
        <w:t>There may be multiple ways for grouping candidates such that they constitute a non-overlapping set, and the set</w:t>
      </w:r>
      <w:r w:rsidR="00432B83">
        <w:t xml:space="preserve"> that defines the max number of candidates </w:t>
      </w:r>
      <w:r>
        <w:t xml:space="preserve">may not be unique either. Without additional signalling, UE would have to determine the max number of non-overlapping candidate unicast PDSCH occasions per slot, </w:t>
      </w:r>
      <w:r w:rsidR="00CD6F64">
        <w:t xml:space="preserve">solely </w:t>
      </w:r>
      <w:r>
        <w:t xml:space="preserve">based on the configured pdsch-symbolAllocation table. </w:t>
      </w:r>
      <w:r w:rsidR="00CD6F64">
        <w:t>The worst case is for UE to try all possible combinations of grouping and then determine the maximum number of non-overlapping candidates. It is not apparent that this determination would be straight-forward for the UE.</w:t>
      </w:r>
    </w:p>
    <w:p w14:paraId="53CFD4B7" w14:textId="7E885AFE" w:rsidR="00BC542C" w:rsidRDefault="00CD6F64" w:rsidP="00BC542C">
      <w:pPr>
        <w:pStyle w:val="ListParagraph"/>
        <w:numPr>
          <w:ilvl w:val="0"/>
          <w:numId w:val="22"/>
        </w:numPr>
      </w:pPr>
      <w:r>
        <w:t>Even if the max number of non-overlapping candidate</w:t>
      </w:r>
      <w:r w:rsidR="00BC542C">
        <w:t xml:space="preserve"> unicast PDSCH occasions per slot is determined, and HARQ-ACK bits are allocated for the slot, there still exist the problem of HARQ-ACK bit association. </w:t>
      </w:r>
      <w:r w:rsidR="00E20474">
        <w:t xml:space="preserve">Because there is no unique way to group the non-overlapping candidates, and there is no communication between gNB and UE on the grouping, </w:t>
      </w:r>
      <w:r w:rsidR="00432B83">
        <w:t xml:space="preserve">it is possible that </w:t>
      </w:r>
      <w:r w:rsidR="00E20474">
        <w:t>gNB and UE may not assume the same HARQ-ACK bit association</w:t>
      </w:r>
      <w:r w:rsidR="00432B83">
        <w:t xml:space="preserve"> and</w:t>
      </w:r>
      <w:r w:rsidR="00E20474">
        <w:t xml:space="preserve"> rendering HARQ-ACK feedback useless.</w:t>
      </w:r>
    </w:p>
    <w:p w14:paraId="5446CA87" w14:textId="77777777" w:rsidR="00BC542C" w:rsidRDefault="00BC542C" w:rsidP="00BC542C"/>
    <w:p w14:paraId="7AA43104" w14:textId="41955454" w:rsidR="00BC542C" w:rsidRDefault="00BC542C" w:rsidP="00BC542C">
      <w:r>
        <w:t xml:space="preserve">It would be easier to illustrate the issues with an example. Assume there are </w:t>
      </w:r>
      <w:r w:rsidR="00D00429">
        <w:t>7</w:t>
      </w:r>
      <w:r>
        <w:t xml:space="preserve"> entries in pdsch-symbolAllocation table, </w:t>
      </w:r>
      <w:r w:rsidR="00581818">
        <w:t xml:space="preserve">Entry A to Entry </w:t>
      </w:r>
      <w:r w:rsidR="00D00429">
        <w:t>G</w:t>
      </w:r>
      <w:r w:rsidR="00581818">
        <w:t xml:space="preserve">. Their SLIV are defined </w:t>
      </w:r>
      <w:r w:rsidR="005838C8">
        <w:t xml:space="preserve">pictorially </w:t>
      </w:r>
      <w:r w:rsidR="00581818">
        <w:t xml:space="preserve">in </w:t>
      </w:r>
      <w:r w:rsidR="005838C8">
        <w:t xml:space="preserve">the following </w:t>
      </w:r>
      <w:r w:rsidR="00581818">
        <w:t>way</w:t>
      </w:r>
      <w:r w:rsidR="005838C8">
        <w:t>:</w:t>
      </w:r>
    </w:p>
    <w:p w14:paraId="0D6A18AC" w14:textId="12749FD1" w:rsidR="00581818" w:rsidRPr="00D27351" w:rsidRDefault="00D00429" w:rsidP="00581818">
      <w:pPr>
        <w:jc w:val="center"/>
      </w:pPr>
      <w:r>
        <w:rPr>
          <w:noProof/>
        </w:rPr>
        <w:drawing>
          <wp:inline distT="0" distB="0" distL="0" distR="0" wp14:anchorId="1F23D3A5" wp14:editId="3C7B15B1">
            <wp:extent cx="4096512" cy="475488"/>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96512" cy="475488"/>
                    </a:xfrm>
                    <a:prstGeom prst="rect">
                      <a:avLst/>
                    </a:prstGeom>
                    <a:noFill/>
                  </pic:spPr>
                </pic:pic>
              </a:graphicData>
            </a:graphic>
          </wp:inline>
        </w:drawing>
      </w:r>
    </w:p>
    <w:p w14:paraId="5CFF2E5C" w14:textId="26E146BA" w:rsidR="00D15829" w:rsidRDefault="005838C8" w:rsidP="00D27351">
      <w:r>
        <w:t>Due to the way it is illustrated, it is obvious that the Set {A,B,C,D} are non-overlapping, and the Set {E,F,</w:t>
      </w:r>
      <w:r w:rsidR="00D00429">
        <w:t>G</w:t>
      </w:r>
      <w:r>
        <w:t xml:space="preserve">} are non-overlapping. </w:t>
      </w:r>
      <w:r w:rsidR="001E0772">
        <w:t>However, the</w:t>
      </w:r>
      <w:r w:rsidR="000E2355">
        <w:t>re are usually more than one combinations for set determination</w:t>
      </w:r>
      <w:r w:rsidR="001E0772">
        <w:t xml:space="preserve">. </w:t>
      </w:r>
      <w:r w:rsidR="00581818">
        <w:t xml:space="preserve">For example, the Set {A, </w:t>
      </w:r>
      <w:r w:rsidR="00D00429">
        <w:t>B</w:t>
      </w:r>
      <w:r w:rsidR="00581818">
        <w:t xml:space="preserve">, </w:t>
      </w:r>
      <w:r w:rsidR="00D00429">
        <w:t>C, G</w:t>
      </w:r>
      <w:r w:rsidR="00581818">
        <w:t xml:space="preserve">} and Set {E, </w:t>
      </w:r>
      <w:r w:rsidR="00D00429">
        <w:t>F</w:t>
      </w:r>
      <w:r w:rsidR="00581818">
        <w:t xml:space="preserve">, </w:t>
      </w:r>
      <w:r w:rsidR="00D00429">
        <w:t>D</w:t>
      </w:r>
      <w:r w:rsidR="00581818">
        <w:t>}</w:t>
      </w:r>
      <w:r w:rsidR="000E2355">
        <w:t xml:space="preserve"> could be considered</w:t>
      </w:r>
      <w:r w:rsidR="00581818">
        <w:t xml:space="preserve">, </w:t>
      </w:r>
      <w:r w:rsidR="00D15829">
        <w:t xml:space="preserve">and </w:t>
      </w:r>
      <w:r w:rsidR="00D00429">
        <w:t xml:space="preserve">other possible </w:t>
      </w:r>
      <w:r w:rsidR="00D15829">
        <w:t xml:space="preserve">combinations. In this example, it is quite obvious that the max number of candidates should be four; However, </w:t>
      </w:r>
      <w:r w:rsidR="00082D86">
        <w:t xml:space="preserve">for the </w:t>
      </w:r>
      <w:r w:rsidR="00D15829">
        <w:t>general</w:t>
      </w:r>
      <w:r w:rsidR="00082D86">
        <w:t xml:space="preserve"> case</w:t>
      </w:r>
      <w:r w:rsidR="00D15829">
        <w:t xml:space="preserve">, gNB and UE </w:t>
      </w:r>
      <w:r>
        <w:t xml:space="preserve">may </w:t>
      </w:r>
      <w:r w:rsidR="00D15829">
        <w:t xml:space="preserve">have to evaluate all combinations to determine the max number. If </w:t>
      </w:r>
      <w:r w:rsidR="00ED5580">
        <w:t xml:space="preserve">one </w:t>
      </w:r>
      <w:r w:rsidR="00D15829">
        <w:t xml:space="preserve">side </w:t>
      </w:r>
      <w:r w:rsidR="00ED5580">
        <w:t>runs a sub-optimal</w:t>
      </w:r>
      <w:r w:rsidR="00D15829">
        <w:t xml:space="preserve"> algorithm, both gNB and UE may be inconsistent in their understanding of the max number, resulting in failure in HARQ-ACK feedback due to overall semi-static codebook size mismatch.</w:t>
      </w:r>
      <w:r w:rsidR="00082D86">
        <w:t xml:space="preserve"> It’d be preferable that gNB and UE could have </w:t>
      </w:r>
      <w:r>
        <w:t xml:space="preserve">at least a one-way handshake on the max number, either by explicitly </w:t>
      </w:r>
      <w:r w:rsidR="00E20474">
        <w:t xml:space="preserve">or implicit </w:t>
      </w:r>
      <w:r>
        <w:t>signaling</w:t>
      </w:r>
      <w:r w:rsidR="00E20474">
        <w:t>.</w:t>
      </w:r>
    </w:p>
    <w:p w14:paraId="40BD9D21" w14:textId="4D7F0CC9" w:rsidR="00E20474" w:rsidRDefault="000E2355" w:rsidP="00D27351">
      <w:r>
        <w:t xml:space="preserve">Moreover, there is the issue of HARQ-ACK bit association. </w:t>
      </w:r>
      <w:r w:rsidR="005838C8">
        <w:t>In this example, even when both gNB and UE correctly arrive at the max number of 4, and correspondingly, 4 HARQ-ACK bits are allocated for this particular slot, the next issue is how to associate the bit to a particular entry.</w:t>
      </w:r>
      <w:r w:rsidR="00E20474">
        <w:t xml:space="preserve"> If both gNB and UE agree to use the Set {A,B,C,D} and Set {E,F,G}, there is no ambiguity as the rank within each set can be used for HARQ-ACK bit association. For example, A is associated with Bit 0, B with Bit 1, and so on. Similarly, E is associated with Bit 0, F with Bit 1, and so on. However, the problem is that gNB and UE do not have the means to communicate on set determination so this method </w:t>
      </w:r>
      <w:r w:rsidR="00627B4F">
        <w:t>may not work</w:t>
      </w:r>
      <w:r w:rsidR="00E20474">
        <w:t xml:space="preserve"> in general.</w:t>
      </w:r>
      <w:r w:rsidR="007B5500">
        <w:t xml:space="preserve"> </w:t>
      </w:r>
      <w:r w:rsidR="00D00429">
        <w:t>P</w:t>
      </w:r>
      <w:r w:rsidR="007B5500">
        <w:t>ossible grouping</w:t>
      </w:r>
      <w:r w:rsidR="00D00429">
        <w:t>s</w:t>
      </w:r>
      <w:r w:rsidR="007B5500">
        <w:t xml:space="preserve"> could be Grouping 1: {A,B,</w:t>
      </w:r>
      <w:r w:rsidR="00D00429">
        <w:t>C,D</w:t>
      </w:r>
      <w:r w:rsidR="007B5500">
        <w:t>} and {E,F,G}, or Grouping 2: {A,B,</w:t>
      </w:r>
      <w:r w:rsidR="00D00429">
        <w:t>C</w:t>
      </w:r>
      <w:r w:rsidR="007B5500">
        <w:t>,</w:t>
      </w:r>
      <w:r w:rsidR="00D00429">
        <w:t>G</w:t>
      </w:r>
      <w:r w:rsidR="007B5500">
        <w:t xml:space="preserve">} and {E,F,D}. if gNB assumes Grouping 1 while UE assumes Grouping 2, then </w:t>
      </w:r>
      <w:r w:rsidR="00432B83">
        <w:t>if</w:t>
      </w:r>
      <w:r w:rsidR="007B5500">
        <w:t xml:space="preserve"> </w:t>
      </w:r>
      <w:r w:rsidR="00D00429">
        <w:t>G</w:t>
      </w:r>
      <w:r w:rsidR="007B5500">
        <w:t xml:space="preserve"> is received, gNB and UE has different understanding of which bit location it would correspond, i.e. gNB assumes Bit 2 while UE assumes Bit 3.</w:t>
      </w:r>
    </w:p>
    <w:p w14:paraId="1C4274C5" w14:textId="05522C51" w:rsidR="007B5500" w:rsidRDefault="000D2578" w:rsidP="00D27351">
      <w:r>
        <w:t xml:space="preserve">The key to solving above two issues is for gNB and UE to have at least a one-way handshake </w:t>
      </w:r>
      <w:r w:rsidR="00E6666C">
        <w:t>for at least one set of non-overlapping candidates</w:t>
      </w:r>
      <w:r w:rsidR="00432B83">
        <w:t xml:space="preserve"> defining</w:t>
      </w:r>
      <w:r w:rsidR="00E6666C">
        <w:t xml:space="preserve"> the max number of non-overlapping candidates. Obviously, explicit signaling (e.g. via RRC configuration) can achieve this, but alternatively, implicit signaling based on RRC configuration of pdsch-symbolAllocation can also work.</w:t>
      </w:r>
    </w:p>
    <w:p w14:paraId="167ED872" w14:textId="3C7AC99C" w:rsidR="00E6666C" w:rsidRDefault="00E6666C" w:rsidP="00D27351">
      <w:r>
        <w:t>We propose that gNB communicates a “reference set” with max number of non-overlapping candidates to the UE. Once UE knows what this “reference set” is, the HARQ-ACK bit association can simply be determined based on the rank of the candidate within the set. For other candidates not belonging to this “reference set”, there can be a rule defined in the specification to map the candidate to a particular candidate in the reference set</w:t>
      </w:r>
      <w:r w:rsidR="005126FC">
        <w:t xml:space="preserve"> (referred to as a “reference candidate”)</w:t>
      </w:r>
      <w:r>
        <w:t>, and the HARQ-ACK bit association would follow the reference set.</w:t>
      </w:r>
    </w:p>
    <w:p w14:paraId="2A72DC7F" w14:textId="0FC34DFE" w:rsidR="005126FC" w:rsidRDefault="00E6666C" w:rsidP="00D27351">
      <w:r>
        <w:t xml:space="preserve">Going back to our example. Suppose the “reference set” is {A,B,C,D} and this is </w:t>
      </w:r>
      <w:r w:rsidR="00ED5580">
        <w:t xml:space="preserve">somehow </w:t>
      </w:r>
      <w:r>
        <w:t xml:space="preserve">communicated by the gNB to the UE. HARQ-ACK bit association rule is defined in specification: The bit position is determined based on the rank within the set. For example, A is mapped to Bit 0, B to Bit 1, </w:t>
      </w:r>
      <w:r w:rsidR="005126FC">
        <w:t>…, and D to Bit 3</w:t>
      </w:r>
      <w:r>
        <w:t>. When UE receives a candidate not belonging to the reference set</w:t>
      </w:r>
      <w:r w:rsidR="005126FC">
        <w:t xml:space="preserve"> (referred to as a “non-reference candidate”)</w:t>
      </w:r>
      <w:r>
        <w:t xml:space="preserve">, say Candidate G, a rule can be specified to map G to say, </w:t>
      </w:r>
      <w:r w:rsidR="00432B83">
        <w:t xml:space="preserve">Candidate </w:t>
      </w:r>
      <w:r w:rsidR="005126FC">
        <w:t>D. Then Bit 3 would be used for reporting HARQ-ACK for Candidate G. The mapping rule can be based on the starting symbol, i.e. from the starting symbol of the</w:t>
      </w:r>
      <w:r w:rsidR="00432B83">
        <w:t xml:space="preserve"> non-reference</w:t>
      </w:r>
      <w:r w:rsidR="005126FC">
        <w:t xml:space="preserve"> candidate, we look for the next ending symbol belonging to a particular candidate in the reference set, then this candidate is “mapped” to the particular candidate in the reference set and assume</w:t>
      </w:r>
      <w:r w:rsidR="00432B83">
        <w:t>s</w:t>
      </w:r>
      <w:r w:rsidR="005126FC">
        <w:t xml:space="preserve"> the same HARQ-ACK bit association. With this rule, Candidate G would be mapped to D in the reference set, and they both share Bit 3. By this rule, E maps to A, and F maps to B.</w:t>
      </w:r>
    </w:p>
    <w:p w14:paraId="099E49AD" w14:textId="35A1026D" w:rsidR="005126FC" w:rsidRDefault="005126FC" w:rsidP="00D27351">
      <w:r>
        <w:t xml:space="preserve">If the reference set is not chosen optimally, there are cases where multiple candidates may be mapped to the same reference candidate. In this case, if </w:t>
      </w:r>
      <w:r w:rsidR="00432B83">
        <w:t>the</w:t>
      </w:r>
      <w:r>
        <w:t xml:space="preserve"> </w:t>
      </w:r>
      <w:r w:rsidR="00432B83">
        <w:t xml:space="preserve">non-reference </w:t>
      </w:r>
      <w:r>
        <w:t>candidates are non-overlapping, there could be ambiguity which one the HARQ-ACK bit corresponds to. This is a corner case and techniques such as ACK bundling may be considered</w:t>
      </w:r>
      <w:r w:rsidR="00432B83">
        <w:t xml:space="preserve"> to handle it</w:t>
      </w:r>
      <w:r>
        <w:t>.</w:t>
      </w:r>
    </w:p>
    <w:p w14:paraId="25333801" w14:textId="2B630791" w:rsidR="005A53A4" w:rsidRDefault="005A53A4" w:rsidP="00D27351">
      <w:r>
        <w:t>Implicit signaling of the reference set can be done by position</w:t>
      </w:r>
      <w:r w:rsidR="00432B83">
        <w:t xml:space="preserve"> information</w:t>
      </w:r>
      <w:r>
        <w:t xml:space="preserve"> in the pdsch-symbolAllocation table. UE can expect candidates </w:t>
      </w:r>
      <w:r w:rsidR="00432B83">
        <w:t xml:space="preserve">to have non-overlapping SLIV </w:t>
      </w:r>
      <w:r>
        <w:t xml:space="preserve">as it traverses the table in a specified direction (e.g. starting from the </w:t>
      </w:r>
      <w:r w:rsidR="00ED5580">
        <w:t>entry</w:t>
      </w:r>
      <w:r w:rsidR="00ED5580">
        <w:t xml:space="preserve"> </w:t>
      </w:r>
      <w:r>
        <w:t>with the largest index and going towards lower indices). If it encounters a candidate</w:t>
      </w:r>
      <w:r w:rsidR="00432B83">
        <w:t xml:space="preserve"> with SLIV</w:t>
      </w:r>
      <w:r>
        <w:t xml:space="preserve"> that overlaps with previously visited candidates, it implicitly assumes that the previously visited candidates constitute the reference set.</w:t>
      </w:r>
    </w:p>
    <w:p w14:paraId="6D9AEC3B" w14:textId="330F9525" w:rsidR="005A53A4" w:rsidRDefault="007D1115" w:rsidP="007D1115">
      <w:pPr>
        <w:jc w:val="center"/>
      </w:pPr>
      <w:r>
        <w:rPr>
          <w:noProof/>
        </w:rPr>
        <w:drawing>
          <wp:inline distT="0" distB="0" distL="0" distR="0" wp14:anchorId="2F069B39" wp14:editId="77D96815">
            <wp:extent cx="2834640" cy="167335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34640" cy="1673352"/>
                    </a:xfrm>
                    <a:prstGeom prst="rect">
                      <a:avLst/>
                    </a:prstGeom>
                    <a:noFill/>
                  </pic:spPr>
                </pic:pic>
              </a:graphicData>
            </a:graphic>
          </wp:inline>
        </w:drawing>
      </w:r>
    </w:p>
    <w:p w14:paraId="144FF3F2" w14:textId="525DE0C0" w:rsidR="00E20474" w:rsidRDefault="007D1115" w:rsidP="00D27351">
      <w:r>
        <w:t xml:space="preserve">The reason traversing direction goes from bottom to top is that the top part of the table may be </w:t>
      </w:r>
      <w:r w:rsidR="00FE092D">
        <w:t>prioritized</w:t>
      </w:r>
      <w:r>
        <w:t xml:space="preserve"> for PDSCH mapping type A which likely would not define the max number of non-overlapping candidates. </w:t>
      </w:r>
      <w:r w:rsidR="00FE092D">
        <w:t xml:space="preserve">This is </w:t>
      </w:r>
      <w:r>
        <w:t xml:space="preserve">because time-domain RA field </w:t>
      </w:r>
      <w:r w:rsidR="000755A9">
        <w:t xml:space="preserve">truncation rule for BWP switch puts more reliance on the top portion of the table (see </w:t>
      </w:r>
      <w:r w:rsidR="00FE092D">
        <w:t xml:space="preserve">“Time domain resource allocation” Section in </w:t>
      </w:r>
      <w:r w:rsidR="00FE092D">
        <w:fldChar w:fldCharType="begin"/>
      </w:r>
      <w:r w:rsidR="00FE092D">
        <w:instrText xml:space="preserve"> REF _Ref510805164 \r \h </w:instrText>
      </w:r>
      <w:r w:rsidR="00FE092D">
        <w:fldChar w:fldCharType="separate"/>
      </w:r>
      <w:r w:rsidR="00ED5580">
        <w:t>[7]</w:t>
      </w:r>
      <w:r w:rsidR="00FE092D">
        <w:fldChar w:fldCharType="end"/>
      </w:r>
      <w:r w:rsidR="000755A9">
        <w:t>)</w:t>
      </w:r>
      <w:r w:rsidR="00FE092D">
        <w:t>.</w:t>
      </w:r>
      <w:r w:rsidR="00ED5580">
        <w:t xml:space="preserve"> BWP switch DCI must start within the first 3 OFDM symbols of a slot, so typically Type A mapping is used.</w:t>
      </w:r>
    </w:p>
    <w:p w14:paraId="5FB182DA" w14:textId="660AFB23" w:rsidR="00957818" w:rsidRDefault="00957818" w:rsidP="00957818">
      <w:r>
        <w:t>The high level ideas should be agreed first. Hence, we have the following proposals:</w:t>
      </w:r>
    </w:p>
    <w:p w14:paraId="37F5D92F" w14:textId="0FD5028C" w:rsidR="00957818" w:rsidRDefault="00957818" w:rsidP="00957818">
      <w:pPr>
        <w:pStyle w:val="Caption"/>
      </w:pPr>
      <w:bookmarkStart w:id="12" w:name="_Toc510805335"/>
      <w:bookmarkStart w:id="13" w:name="_Toc510805574"/>
      <w:bookmarkStart w:id="14" w:name="_Toc510814007"/>
      <w:r>
        <w:t xml:space="preserve">Proposal </w:t>
      </w:r>
      <w:r w:rsidR="000E311C">
        <w:fldChar w:fldCharType="begin"/>
      </w:r>
      <w:r w:rsidR="000E311C">
        <w:instrText xml:space="preserve"> SEQ Proposal \* ARABIC </w:instrText>
      </w:r>
      <w:r w:rsidR="000E311C">
        <w:fldChar w:fldCharType="separate"/>
      </w:r>
      <w:r w:rsidR="00ED5580">
        <w:rPr>
          <w:noProof/>
        </w:rPr>
        <w:t>2</w:t>
      </w:r>
      <w:r w:rsidR="000E311C">
        <w:rPr>
          <w:noProof/>
        </w:rPr>
        <w:fldChar w:fldCharType="end"/>
      </w:r>
      <w:r>
        <w:t xml:space="preserve">: A “reference set” of non-overlapping candidates which also defines the max number of non-overlapping candidates </w:t>
      </w:r>
      <w:r w:rsidR="00ED5580">
        <w:t xml:space="preserve">unicast PDSCH occasions per slot </w:t>
      </w:r>
      <w:r>
        <w:t>should be implicitly signaled to the UE based on position information in the pdsch-symbolAllocation table.</w:t>
      </w:r>
      <w:bookmarkEnd w:id="12"/>
      <w:bookmarkEnd w:id="13"/>
      <w:bookmarkEnd w:id="14"/>
    </w:p>
    <w:p w14:paraId="6D99C0CE" w14:textId="357F87B3" w:rsidR="00957818" w:rsidRDefault="00957818" w:rsidP="00957818">
      <w:pPr>
        <w:pStyle w:val="Caption"/>
      </w:pPr>
      <w:bookmarkStart w:id="15" w:name="_Toc510805336"/>
      <w:bookmarkStart w:id="16" w:name="_Toc510805575"/>
      <w:bookmarkStart w:id="17" w:name="_Toc510814008"/>
      <w:r>
        <w:t xml:space="preserve">Proposal </w:t>
      </w:r>
      <w:r w:rsidR="000E311C">
        <w:fldChar w:fldCharType="begin"/>
      </w:r>
      <w:r w:rsidR="000E311C">
        <w:instrText xml:space="preserve"> SEQ Proposal \* ARABIC </w:instrText>
      </w:r>
      <w:r w:rsidR="000E311C">
        <w:fldChar w:fldCharType="separate"/>
      </w:r>
      <w:r w:rsidR="00ED5580">
        <w:rPr>
          <w:noProof/>
        </w:rPr>
        <w:t>3</w:t>
      </w:r>
      <w:r w:rsidR="000E311C">
        <w:rPr>
          <w:noProof/>
        </w:rPr>
        <w:fldChar w:fldCharType="end"/>
      </w:r>
      <w:r>
        <w:t>:HARQ-ACK bit association for candidates in the reference set is based on the rank within the set.</w:t>
      </w:r>
      <w:bookmarkEnd w:id="15"/>
      <w:bookmarkEnd w:id="16"/>
      <w:bookmarkEnd w:id="17"/>
    </w:p>
    <w:p w14:paraId="3E868BC8" w14:textId="66C4B1A9" w:rsidR="00957818" w:rsidRDefault="00957818" w:rsidP="00957818">
      <w:pPr>
        <w:pStyle w:val="Caption"/>
      </w:pPr>
      <w:bookmarkStart w:id="18" w:name="_Toc510805337"/>
      <w:bookmarkStart w:id="19" w:name="_Toc510805576"/>
      <w:bookmarkStart w:id="20" w:name="_Toc510814009"/>
      <w:r>
        <w:t xml:space="preserve">Proposal </w:t>
      </w:r>
      <w:r w:rsidR="000E311C">
        <w:fldChar w:fldCharType="begin"/>
      </w:r>
      <w:r w:rsidR="000E311C">
        <w:instrText xml:space="preserve"> SEQ Proposal \* ARABIC </w:instrText>
      </w:r>
      <w:r w:rsidR="000E311C">
        <w:fldChar w:fldCharType="separate"/>
      </w:r>
      <w:r w:rsidR="00ED5580">
        <w:rPr>
          <w:noProof/>
        </w:rPr>
        <w:t>4</w:t>
      </w:r>
      <w:r w:rsidR="000E311C">
        <w:rPr>
          <w:noProof/>
        </w:rPr>
        <w:fldChar w:fldCharType="end"/>
      </w:r>
      <w:r>
        <w:t>: Candidates not belonging to the reference set can be mapped to reference candidates for HARQ-ACK bit association.</w:t>
      </w:r>
      <w:bookmarkEnd w:id="18"/>
      <w:bookmarkEnd w:id="19"/>
      <w:bookmarkEnd w:id="20"/>
    </w:p>
    <w:p w14:paraId="4AAD55B1" w14:textId="19B459D9" w:rsidR="00957818" w:rsidRPr="00065BD4" w:rsidRDefault="00957818" w:rsidP="00957818">
      <w:pPr>
        <w:pStyle w:val="Caption"/>
      </w:pPr>
      <w:bookmarkStart w:id="21" w:name="_Toc510805338"/>
      <w:bookmarkStart w:id="22" w:name="_Toc510805577"/>
      <w:bookmarkStart w:id="23" w:name="_Toc510814010"/>
      <w:r>
        <w:t xml:space="preserve">Proposal </w:t>
      </w:r>
      <w:r w:rsidR="000E311C">
        <w:fldChar w:fldCharType="begin"/>
      </w:r>
      <w:r w:rsidR="000E311C">
        <w:instrText xml:space="preserve"> SEQ Proposal \* ARABIC </w:instrText>
      </w:r>
      <w:r w:rsidR="000E311C">
        <w:fldChar w:fldCharType="separate"/>
      </w:r>
      <w:r w:rsidR="00ED5580">
        <w:rPr>
          <w:noProof/>
        </w:rPr>
        <w:t>5</w:t>
      </w:r>
      <w:r w:rsidR="000E311C">
        <w:rPr>
          <w:noProof/>
        </w:rPr>
        <w:fldChar w:fldCharType="end"/>
      </w:r>
      <w:r>
        <w:t>: UE expects that if it traverses the pdsch-symbolAllocation table for SLIV associated with a particular k0 of interest, the first entries should have non-overlapping SLIV. As soon as an overlapping SLIV</w:t>
      </w:r>
      <w:r w:rsidR="00ED5580">
        <w:t xml:space="preserve"> </w:t>
      </w:r>
      <w:r w:rsidR="00ED5580">
        <w:t>(other conditions not precluded)</w:t>
      </w:r>
      <w:r>
        <w:t xml:space="preserve"> is encountered, UE considers the previously </w:t>
      </w:r>
      <w:r w:rsidR="00ED5580">
        <w:t>travers</w:t>
      </w:r>
      <w:r w:rsidR="00ED5580">
        <w:t xml:space="preserve">ed </w:t>
      </w:r>
      <w:r>
        <w:t>entries with non-overlapping SLIV constitute the reference set. The direction of traversing is from the largest indexed to smaller indexed entries in the table.</w:t>
      </w:r>
      <w:bookmarkEnd w:id="21"/>
      <w:bookmarkEnd w:id="22"/>
      <w:bookmarkEnd w:id="23"/>
    </w:p>
    <w:p w14:paraId="22D07A9E" w14:textId="77777777" w:rsidR="00957818" w:rsidRPr="00CB3296" w:rsidRDefault="00957818" w:rsidP="005C2F71"/>
    <w:p w14:paraId="27FFE3A3" w14:textId="77777777" w:rsidR="005C2F71" w:rsidRPr="00CC124C" w:rsidRDefault="005C2F71" w:rsidP="005C2F71">
      <w:pPr>
        <w:pStyle w:val="Heading3"/>
      </w:pPr>
      <w:bookmarkStart w:id="24" w:name="_Ref510803943"/>
      <w:r>
        <w:t>ACK/NACK padding in dynamic HARQ-ACK codebook</w:t>
      </w:r>
      <w:bookmarkEnd w:id="24"/>
    </w:p>
    <w:p w14:paraId="1ECCBA4F" w14:textId="77777777" w:rsidR="005C2F71" w:rsidRPr="00CC124C" w:rsidRDefault="005C2F71" w:rsidP="005C2F71">
      <w:pPr>
        <w:jc w:val="both"/>
        <w:rPr>
          <w:lang w:eastAsia="zh-CN"/>
        </w:rPr>
      </w:pPr>
      <w:r w:rsidRPr="00CC124C">
        <w:rPr>
          <w:lang w:eastAsia="zh-CN"/>
        </w:rPr>
        <w:t>In 3GPP RAN1 #91bis meeting, regarding TB and CBG based HARQ-ACK codebook, the following is agreed.</w:t>
      </w:r>
    </w:p>
    <w:p w14:paraId="2F14373A" w14:textId="77777777" w:rsidR="005C2F71" w:rsidRPr="00CC124C" w:rsidRDefault="005C2F71" w:rsidP="005C2F71">
      <w:pPr>
        <w:rPr>
          <w:lang w:eastAsia="x-none"/>
        </w:rPr>
      </w:pPr>
      <w:r w:rsidRPr="00CC124C">
        <w:rPr>
          <w:highlight w:val="green"/>
          <w:lang w:eastAsia="x-none"/>
        </w:rPr>
        <w:t>Agreements</w:t>
      </w:r>
      <w:r w:rsidRPr="00CC124C">
        <w:rPr>
          <w:lang w:eastAsia="x-none"/>
        </w:rPr>
        <w:t>:</w:t>
      </w:r>
    </w:p>
    <w:p w14:paraId="35976D55" w14:textId="77777777" w:rsidR="005C2F71" w:rsidRPr="00CC124C" w:rsidRDefault="005C2F71" w:rsidP="005C2F71">
      <w:pPr>
        <w:numPr>
          <w:ilvl w:val="0"/>
          <w:numId w:val="9"/>
        </w:numPr>
        <w:overflowPunct/>
        <w:autoSpaceDE/>
        <w:autoSpaceDN/>
        <w:adjustRightInd/>
        <w:spacing w:after="0"/>
        <w:textAlignment w:val="auto"/>
      </w:pPr>
      <w:r w:rsidRPr="00CC124C">
        <w:t xml:space="preserve">Generate 2 HARQ-ACK sub-codebooks (sub-CBs) </w:t>
      </w:r>
    </w:p>
    <w:p w14:paraId="0D4A37BD" w14:textId="77777777" w:rsidR="005C2F71" w:rsidRPr="00CC124C" w:rsidRDefault="005C2F71" w:rsidP="005C2F71">
      <w:pPr>
        <w:numPr>
          <w:ilvl w:val="1"/>
          <w:numId w:val="9"/>
        </w:numPr>
        <w:overflowPunct/>
        <w:autoSpaceDE/>
        <w:autoSpaceDN/>
        <w:adjustRightInd/>
        <w:spacing w:after="0"/>
        <w:textAlignment w:val="auto"/>
      </w:pPr>
      <w:r w:rsidRPr="00CC124C">
        <w:t>First sub-CB is for transmissions with TB-based HARQ-ACK, second sub-CB is for transmissions with CBG-based HARQ-ACK</w:t>
      </w:r>
    </w:p>
    <w:p w14:paraId="734909AD" w14:textId="77777777" w:rsidR="005C2F71" w:rsidRPr="00CC124C" w:rsidRDefault="005C2F71" w:rsidP="005C2F71">
      <w:pPr>
        <w:numPr>
          <w:ilvl w:val="1"/>
          <w:numId w:val="9"/>
        </w:numPr>
        <w:overflowPunct/>
        <w:autoSpaceDE/>
        <w:autoSpaceDN/>
        <w:adjustRightInd/>
        <w:spacing w:after="0"/>
        <w:textAlignment w:val="auto"/>
      </w:pPr>
      <w:r w:rsidRPr="00CC124C">
        <w:t>The sub-CBs are combined in a single HARQ-ACK codebook (sub-CB for TB-based HARQ-ACK is placed first)</w:t>
      </w:r>
    </w:p>
    <w:p w14:paraId="54051EA5" w14:textId="77777777" w:rsidR="005C2F71" w:rsidRPr="00CC124C" w:rsidRDefault="005C2F71" w:rsidP="005C2F71"/>
    <w:p w14:paraId="63756FE3" w14:textId="77777777" w:rsidR="005C2F71" w:rsidRDefault="005C2F71" w:rsidP="005C2F71">
      <w:pPr>
        <w:jc w:val="both"/>
      </w:pPr>
      <w:r w:rsidRPr="00CC124C">
        <w:t>The agreement says that in the case when both CBG-based and TB-based transmissions are scheduled, their ACK/NACK are combined and coded together in PUCCH. Note that, in the case of dynamic HARQ-ACK codebook configuration, gNB/UE relies on the mechanism of Counter/Total-DAI in the DL grant to resolve the ambiguity regarding the HARQ/ACK payload. Given that two separate DAI instances will be used, one for CBG-based transmission and one for TB-based transmission, HARQ/ACK payload size ambiguity will manifest itself whenever one of the DAI instance gets disrupted, leading to reduced robustness against grant-missing events. A particularly vulnerable case arises when there is only one or two TB based transmission and one or two CBG based transmissions are scheduled, in which case there is a good chance for HARQ-ACK payload size ambiguity should any grant be missed. To add a layer of protection against ACK/NACK payload size ambiguity, one design choice is to always pad the TB-based ACK-NACK bits to corresponds to at least one (or two) PDSCH(s), if UE receives CBG-based grant but no TB-based grant. The relative overhead for this scheme is small in this case: the HARQ-ACK feedback transmission anyway must carry the CBG based feedback, the additional padding bits for the 2 TBs is small in proportion.</w:t>
      </w:r>
    </w:p>
    <w:p w14:paraId="2B525067" w14:textId="258C07AF" w:rsidR="005C2F71" w:rsidRPr="00CC124C" w:rsidRDefault="005C2F71" w:rsidP="005C2F71">
      <w:pPr>
        <w:pStyle w:val="Caption"/>
      </w:pPr>
      <w:bookmarkStart w:id="25" w:name="_Toc506581800"/>
      <w:bookmarkStart w:id="26" w:name="_Toc506582127"/>
      <w:bookmarkStart w:id="27" w:name="_Toc506582149"/>
      <w:bookmarkStart w:id="28" w:name="_Toc510530213"/>
      <w:bookmarkStart w:id="29" w:name="_Toc510530374"/>
      <w:bookmarkStart w:id="30" w:name="_Toc510571487"/>
      <w:bookmarkStart w:id="31" w:name="_Toc510655941"/>
      <w:bookmarkStart w:id="32" w:name="_Toc510686221"/>
      <w:bookmarkStart w:id="33" w:name="_Toc510786119"/>
      <w:bookmarkStart w:id="34" w:name="_Toc510788213"/>
      <w:bookmarkStart w:id="35" w:name="_Toc510805183"/>
      <w:bookmarkStart w:id="36" w:name="_Toc510805339"/>
      <w:bookmarkStart w:id="37" w:name="_Toc510805578"/>
      <w:bookmarkStart w:id="38" w:name="_Toc510814011"/>
      <w:r>
        <w:t xml:space="preserve">Proposal </w:t>
      </w:r>
      <w:r w:rsidR="000E311C">
        <w:fldChar w:fldCharType="begin"/>
      </w:r>
      <w:r w:rsidR="000E311C">
        <w:instrText xml:space="preserve"> SEQ Proposal</w:instrText>
      </w:r>
      <w:r w:rsidR="000E311C">
        <w:instrText xml:space="preserve"> \* ARABIC </w:instrText>
      </w:r>
      <w:r w:rsidR="000E311C">
        <w:fldChar w:fldCharType="separate"/>
      </w:r>
      <w:r w:rsidR="00ED5580">
        <w:rPr>
          <w:noProof/>
        </w:rPr>
        <w:t>6</w:t>
      </w:r>
      <w:r w:rsidR="000E311C">
        <w:rPr>
          <w:noProof/>
        </w:rPr>
        <w:fldChar w:fldCharType="end"/>
      </w:r>
      <w:r>
        <w:t>:</w:t>
      </w:r>
      <w:r w:rsidRPr="00387D4C">
        <w:rPr>
          <w:lang w:eastAsia="x-none"/>
        </w:rPr>
        <w:t xml:space="preserve"> </w:t>
      </w:r>
      <w:r w:rsidRPr="00CC124C">
        <w:rPr>
          <w:lang w:eastAsia="x-none"/>
        </w:rPr>
        <w:t>When dynamic HARQ-ACK codebook is configured for a UE, and the UE received CBG-based transmission, then UE always pads two TB-based NACKs in the feedback.</w:t>
      </w:r>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0FE33957" w14:textId="545CBB30" w:rsidR="005C2F71" w:rsidRDefault="005C2F71" w:rsidP="005C2F71"/>
    <w:p w14:paraId="0485FC01" w14:textId="5A8B8CE9" w:rsidR="004B6C13" w:rsidRDefault="009B719B" w:rsidP="009B719B">
      <w:pPr>
        <w:pStyle w:val="Heading3"/>
      </w:pPr>
      <w:r w:rsidRPr="009B719B">
        <w:t>5</w:t>
      </w:r>
      <w:r w:rsidRPr="009B719B">
        <w:tab/>
        <w:t>A-CSI reports per slot in CA</w:t>
      </w:r>
    </w:p>
    <w:p w14:paraId="13BA405C" w14:textId="70A000C1" w:rsidR="009B719B" w:rsidRDefault="009B719B" w:rsidP="009B719B">
      <w:pPr>
        <w:rPr>
          <w:lang w:val="en-GB"/>
        </w:rPr>
      </w:pPr>
      <w:r>
        <w:rPr>
          <w:lang w:val="en-GB"/>
        </w:rPr>
        <w:t>(</w:t>
      </w:r>
      <w:r w:rsidRPr="00F333F7">
        <w:rPr>
          <w:i/>
          <w:lang w:val="en-GB"/>
        </w:rPr>
        <w:t xml:space="preserve">Note: This is section is </w:t>
      </w:r>
      <w:r w:rsidR="00864F2D">
        <w:rPr>
          <w:i/>
          <w:lang w:val="en-GB"/>
        </w:rPr>
        <w:t>identical to the s</w:t>
      </w:r>
      <w:r w:rsidR="00A831D8">
        <w:rPr>
          <w:i/>
          <w:lang w:val="en-GB"/>
        </w:rPr>
        <w:t xml:space="preserve">ection </w:t>
      </w:r>
      <w:r w:rsidR="00864F2D">
        <w:rPr>
          <w:i/>
          <w:lang w:val="en-GB"/>
        </w:rPr>
        <w:t>with the same name</w:t>
      </w:r>
      <w:r w:rsidR="00A831D8">
        <w:rPr>
          <w:i/>
          <w:lang w:val="en-GB"/>
        </w:rPr>
        <w:t xml:space="preserve"> in</w:t>
      </w:r>
      <w:r>
        <w:rPr>
          <w:lang w:val="en-GB"/>
        </w:rPr>
        <w:t xml:space="preserve"> </w:t>
      </w:r>
      <w:r>
        <w:rPr>
          <w:lang w:val="en-GB"/>
        </w:rPr>
        <w:fldChar w:fldCharType="begin"/>
      </w:r>
      <w:r>
        <w:rPr>
          <w:lang w:val="en-GB"/>
        </w:rPr>
        <w:instrText xml:space="preserve"> REF _Ref510786088 \r \h </w:instrText>
      </w:r>
      <w:r>
        <w:rPr>
          <w:lang w:val="en-GB"/>
        </w:rPr>
      </w:r>
      <w:r>
        <w:rPr>
          <w:lang w:val="en-GB"/>
        </w:rPr>
        <w:fldChar w:fldCharType="separate"/>
      </w:r>
      <w:r w:rsidR="00ED5580">
        <w:rPr>
          <w:lang w:val="en-GB"/>
        </w:rPr>
        <w:t>[6]</w:t>
      </w:r>
      <w:r>
        <w:rPr>
          <w:lang w:val="en-GB"/>
        </w:rPr>
        <w:fldChar w:fldCharType="end"/>
      </w:r>
      <w:r>
        <w:rPr>
          <w:lang w:val="en-GB"/>
        </w:rPr>
        <w:t>)</w:t>
      </w:r>
    </w:p>
    <w:p w14:paraId="7A75DA3D" w14:textId="3CA037C4" w:rsidR="00BB3373" w:rsidRDefault="00BB3373" w:rsidP="00BB3373">
      <w:pPr>
        <w:rPr>
          <w:lang w:val="en-GB"/>
        </w:rPr>
      </w:pPr>
      <w:r>
        <w:rPr>
          <w:lang w:val="en-GB"/>
        </w:rPr>
        <w:t xml:space="preserve">In RAN1 #92, the following </w:t>
      </w:r>
      <w:r w:rsidR="00D27351">
        <w:rPr>
          <w:lang w:val="en-GB"/>
        </w:rPr>
        <w:t xml:space="preserve">agreement </w:t>
      </w:r>
      <w:r>
        <w:rPr>
          <w:lang w:val="en-GB"/>
        </w:rPr>
        <w:t xml:space="preserve">was </w:t>
      </w:r>
      <w:r w:rsidR="00D27351">
        <w:rPr>
          <w:lang w:val="en-GB"/>
        </w:rPr>
        <w:t xml:space="preserve">achieved </w:t>
      </w:r>
      <w:r>
        <w:rPr>
          <w:lang w:val="en-GB"/>
        </w:rPr>
        <w:t xml:space="preserve">in MIMO session </w:t>
      </w:r>
      <w:r w:rsidR="00D27351">
        <w:rPr>
          <w:lang w:val="en-GB"/>
        </w:rPr>
        <w:fldChar w:fldCharType="begin"/>
      </w:r>
      <w:r w:rsidR="00D27351">
        <w:rPr>
          <w:lang w:val="en-GB"/>
        </w:rPr>
        <w:instrText xml:space="preserve"> REF _Ref510358192 \r \h </w:instrText>
      </w:r>
      <w:r w:rsidR="00D27351">
        <w:rPr>
          <w:lang w:val="en-GB"/>
        </w:rPr>
      </w:r>
      <w:r w:rsidR="00D27351">
        <w:rPr>
          <w:lang w:val="en-GB"/>
        </w:rPr>
        <w:fldChar w:fldCharType="separate"/>
      </w:r>
      <w:r w:rsidR="00ED5580">
        <w:rPr>
          <w:lang w:val="en-GB"/>
        </w:rPr>
        <w:t>[5]</w:t>
      </w:r>
      <w:r w:rsidR="00D27351">
        <w:rPr>
          <w:lang w:val="en-GB"/>
        </w:rPr>
        <w:fldChar w:fldCharType="end"/>
      </w:r>
      <w:r w:rsidR="00D27351">
        <w:rPr>
          <w:lang w:val="en-GB"/>
        </w:rPr>
        <w:t>:</w:t>
      </w:r>
    </w:p>
    <w:p w14:paraId="0AC1367C" w14:textId="77777777" w:rsidR="00BB3373" w:rsidRPr="002A2689" w:rsidRDefault="00BB3373" w:rsidP="00BB3373">
      <w:pPr>
        <w:numPr>
          <w:ilvl w:val="0"/>
          <w:numId w:val="18"/>
        </w:numPr>
      </w:pPr>
      <w:r w:rsidRPr="002A2689">
        <w:rPr>
          <w:bCs/>
        </w:rPr>
        <w:t>For the uplink non-CA case, a UE is not expected to transmit more than one aperiodic CSI reports triggered by different DCIs on overlapping OFDM symbols.</w:t>
      </w:r>
      <w:r w:rsidRPr="002A2689">
        <w:t xml:space="preserve"> </w:t>
      </w:r>
    </w:p>
    <w:p w14:paraId="3153D91D" w14:textId="77777777" w:rsidR="00BB3373" w:rsidRPr="002A2689" w:rsidRDefault="00BB3373" w:rsidP="00BB3373">
      <w:pPr>
        <w:numPr>
          <w:ilvl w:val="1"/>
          <w:numId w:val="18"/>
        </w:numPr>
      </w:pPr>
      <w:r w:rsidRPr="002A2689">
        <w:rPr>
          <w:bCs/>
        </w:rPr>
        <w:t>For the uplink CA case, the number of aperiodic CSI reports triggered by different DCIs on overlapping OFDM symbols is to be decided in the UL control session</w:t>
      </w:r>
    </w:p>
    <w:p w14:paraId="78BCEB7F" w14:textId="755D843F" w:rsidR="00BB3373" w:rsidRDefault="00DE42A3" w:rsidP="00BB3373">
      <w:r w:rsidRPr="00DE42A3">
        <w:t>There is an FFS in the above agreements to decide the number of A-CSI reports can be transmitted in one slot in CA. In our view, this FFS is already resolved according to 38.214 V15.0.1. In Section 5.2.1.5.1, it says “</w:t>
      </w:r>
      <w:r w:rsidRPr="00DE42A3">
        <w:rPr>
          <w:highlight w:val="green"/>
        </w:rPr>
        <w:t>A UE is not expected to receive more than one aperiodic CSI report request for a given slot</w:t>
      </w:r>
      <w:r w:rsidRPr="00DE42A3">
        <w:t>.” Therefore, for a given UL transmission slot, UE expects only one A-CSI request triggering CSI for that slot. In other words, the scenario in Figure 4 is not allowed according to NR spec. Furthermore, allowing more than one A-CSI requests for a UL slot in Figure 4 unnecessarily complicates system design. First of all, due to missing DCI issue, UE and eNB may have different assumption of how many A-CSI reports should be transmitted in a slot. Secondly, even without missing DCI, there are still quite some open issues such as putting multiple reports on which CC and in what ordering. Resolving these open issues has large spec impact. Third, when HARQ-ACK multiplexed on PUSCH, with multiple A-CSI requests, rule needs to be defined to decide multiplex HARQ-ACK on which PUSCH with A-CSI. And we need mechanism to make sure eNB and UE have the same understanding about HARQ-ACK is multiplexed on which PUSCH due to missing DCI. Last but not least, there is no strong motivation for eNB to trigger multiple A-CSI reports on different CCs using multiple DCIs. Instead, eNB can use a single DCI to trigger a single A-CSI report to request CSI for all the interested CCs</w:t>
      </w:r>
      <w:r w:rsidR="00BB3373">
        <w:t xml:space="preserve">. </w:t>
      </w:r>
    </w:p>
    <w:p w14:paraId="3E130CC0" w14:textId="77777777" w:rsidR="00DE42A3" w:rsidRDefault="00DE42A3" w:rsidP="00DE42A3">
      <w:pPr>
        <w:keepNext/>
        <w:jc w:val="center"/>
      </w:pPr>
      <w:r>
        <w:rPr>
          <w:rFonts w:asciiTheme="minorHAnsi" w:eastAsiaTheme="minorHAnsi" w:hAnsiTheme="minorHAnsi" w:cstheme="minorBidi"/>
          <w:sz w:val="22"/>
          <w:szCs w:val="22"/>
        </w:rPr>
        <w:object w:dxaOrig="8490" w:dyaOrig="3000" w14:anchorId="11376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5pt;height:150.1pt" o:ole="">
            <v:imagedata r:id="rId14" o:title=""/>
          </v:shape>
          <o:OLEObject Type="Embed" ProgID="Visio.Drawing.11" ShapeID="_x0000_i1025" DrawAspect="Content" ObjectID="_1584556193" r:id="rId15"/>
        </w:object>
      </w:r>
    </w:p>
    <w:p w14:paraId="4A43831D" w14:textId="6CF512F7" w:rsidR="00DE42A3" w:rsidRDefault="00DE42A3" w:rsidP="00DE42A3">
      <w:pPr>
        <w:pStyle w:val="Caption"/>
        <w:jc w:val="center"/>
      </w:pPr>
      <w:r>
        <w:t xml:space="preserve">Figure </w:t>
      </w:r>
      <w:r w:rsidR="000E311C">
        <w:fldChar w:fldCharType="begin"/>
      </w:r>
      <w:r w:rsidR="000E311C">
        <w:instrText xml:space="preserve"> SEQ Figure \* ARABIC </w:instrText>
      </w:r>
      <w:r w:rsidR="000E311C">
        <w:fldChar w:fldCharType="separate"/>
      </w:r>
      <w:r w:rsidR="00ED5580">
        <w:rPr>
          <w:noProof/>
        </w:rPr>
        <w:t>1</w:t>
      </w:r>
      <w:r w:rsidR="000E311C">
        <w:rPr>
          <w:noProof/>
        </w:rPr>
        <w:fldChar w:fldCharType="end"/>
      </w:r>
      <w:r>
        <w:t xml:space="preserve">: </w:t>
      </w:r>
      <w:r w:rsidRPr="00DE42A3">
        <w:t>Back-to-back CSI requests trigger multiple CSI reports for the same UL slot is not allowed according TS 38.214 spec</w:t>
      </w:r>
      <w:r>
        <w:t>.</w:t>
      </w:r>
    </w:p>
    <w:p w14:paraId="0691B9C8" w14:textId="77777777" w:rsidR="00DE42A3" w:rsidRDefault="00DE42A3" w:rsidP="009B719B"/>
    <w:p w14:paraId="05DF57E4" w14:textId="34BE60BB" w:rsidR="009B719B" w:rsidRDefault="00BB3373" w:rsidP="009B719B">
      <w:r>
        <w:t>Therefore, we have the following proposal for A-CSI reports.</w:t>
      </w:r>
    </w:p>
    <w:p w14:paraId="7D3B9286" w14:textId="649CB82C" w:rsidR="009B719B" w:rsidRPr="009B719B" w:rsidRDefault="009B719B" w:rsidP="009B719B">
      <w:pPr>
        <w:pStyle w:val="Caption"/>
      </w:pPr>
      <w:bookmarkStart w:id="39" w:name="_Toc510786120"/>
      <w:bookmarkStart w:id="40" w:name="_Toc510788214"/>
      <w:bookmarkStart w:id="41" w:name="_Toc510805184"/>
      <w:bookmarkStart w:id="42" w:name="_Toc510805340"/>
      <w:bookmarkStart w:id="43" w:name="_Toc510805579"/>
      <w:bookmarkStart w:id="44" w:name="_Toc510814012"/>
      <w:r>
        <w:t xml:space="preserve">Proposal </w:t>
      </w:r>
      <w:r w:rsidR="000E311C">
        <w:fldChar w:fldCharType="begin"/>
      </w:r>
      <w:r w:rsidR="000E311C">
        <w:instrText xml:space="preserve"> SEQ Proposal \* ARABIC </w:instrText>
      </w:r>
      <w:r w:rsidR="000E311C">
        <w:fldChar w:fldCharType="separate"/>
      </w:r>
      <w:r w:rsidR="00ED5580">
        <w:rPr>
          <w:noProof/>
        </w:rPr>
        <w:t>7</w:t>
      </w:r>
      <w:r w:rsidR="000E311C">
        <w:rPr>
          <w:noProof/>
        </w:rPr>
        <w:fldChar w:fldCharType="end"/>
      </w:r>
      <w:r>
        <w:t xml:space="preserve">: </w:t>
      </w:r>
      <w:r w:rsidR="00DE42A3" w:rsidRPr="00DE42A3">
        <w:t xml:space="preserve">It is clarified that based on 38.214 V15.0.1, for a given slot, UE is not expected to transmit CSI report(s) triggered by more than one CSI requests received in multiple DCIs, in both CA and non-CA scenarios. </w:t>
      </w:r>
      <w:r>
        <w:t>No spec update is necessary.</w:t>
      </w:r>
      <w:bookmarkEnd w:id="39"/>
      <w:bookmarkEnd w:id="40"/>
      <w:bookmarkEnd w:id="41"/>
      <w:bookmarkEnd w:id="42"/>
      <w:bookmarkEnd w:id="43"/>
      <w:bookmarkEnd w:id="44"/>
    </w:p>
    <w:p w14:paraId="78A4567F" w14:textId="19B2EEED" w:rsidR="00F510D3" w:rsidRDefault="00F510D3" w:rsidP="00E4038C">
      <w:pPr>
        <w:spacing w:after="120"/>
      </w:pPr>
    </w:p>
    <w:p w14:paraId="0084B046" w14:textId="77777777" w:rsidR="009B719B" w:rsidRDefault="009B719B" w:rsidP="00E4038C">
      <w:pPr>
        <w:spacing w:after="120"/>
      </w:pPr>
    </w:p>
    <w:p w14:paraId="2D4BF34F" w14:textId="55C7DE76" w:rsidR="005A54DF" w:rsidRDefault="005713EF" w:rsidP="00044EDB">
      <w:pPr>
        <w:pStyle w:val="Heading2"/>
      </w:pPr>
      <w:bookmarkStart w:id="45" w:name="_Toc503314554"/>
      <w:bookmarkStart w:id="46" w:name="_Toc503531337"/>
      <w:bookmarkStart w:id="47" w:name="_Ref510803863"/>
      <w:bookmarkEnd w:id="45"/>
      <w:bookmarkEnd w:id="46"/>
      <w:r>
        <w:t>CA with M</w:t>
      </w:r>
      <w:r w:rsidR="005A54DF">
        <w:t xml:space="preserve">ixed </w:t>
      </w:r>
      <w:r>
        <w:t>N</w:t>
      </w:r>
      <w:r w:rsidR="005A54DF">
        <w:t>umerology</w:t>
      </w:r>
      <w:bookmarkEnd w:id="47"/>
    </w:p>
    <w:p w14:paraId="0937695E" w14:textId="63426D9C" w:rsidR="005A54DF" w:rsidRDefault="00592630" w:rsidP="00044EDB">
      <w:pPr>
        <w:pStyle w:val="Heading3"/>
      </w:pPr>
      <w:bookmarkStart w:id="48" w:name="_Ref510563683"/>
      <w:r>
        <w:t>Cross-</w:t>
      </w:r>
      <w:r w:rsidR="009B719B">
        <w:t>c</w:t>
      </w:r>
      <w:r>
        <w:t xml:space="preserve">arrier </w:t>
      </w:r>
      <w:r w:rsidR="009B719B">
        <w:t>s</w:t>
      </w:r>
      <w:r w:rsidR="005A54DF">
        <w:t>cheduling</w:t>
      </w:r>
      <w:bookmarkEnd w:id="48"/>
    </w:p>
    <w:p w14:paraId="208B9506" w14:textId="5196514C" w:rsidR="00355B77" w:rsidRDefault="005A54DF" w:rsidP="00355B77">
      <w:pPr>
        <w:rPr>
          <w:lang w:val="en-GB"/>
        </w:rPr>
      </w:pPr>
      <w:r>
        <w:rPr>
          <w:lang w:val="en-GB"/>
        </w:rPr>
        <w:t xml:space="preserve">Cross carrier scheduling with mixed numerology was already agreed for NR. </w:t>
      </w:r>
      <w:r w:rsidR="00355B77">
        <w:rPr>
          <w:lang w:val="en-GB"/>
        </w:rPr>
        <w:fldChar w:fldCharType="begin"/>
      </w:r>
      <w:r w:rsidR="00355B77">
        <w:rPr>
          <w:lang w:val="en-GB"/>
        </w:rPr>
        <w:instrText xml:space="preserve"> REF _Ref510535377 \h </w:instrText>
      </w:r>
      <w:r w:rsidR="00355B77">
        <w:rPr>
          <w:lang w:val="en-GB"/>
        </w:rPr>
      </w:r>
      <w:r w:rsidR="00355B77">
        <w:rPr>
          <w:lang w:val="en-GB"/>
        </w:rPr>
        <w:fldChar w:fldCharType="separate"/>
      </w:r>
      <w:r w:rsidR="00ED5580">
        <w:t xml:space="preserve">Figure </w:t>
      </w:r>
      <w:r w:rsidR="00ED5580">
        <w:rPr>
          <w:noProof/>
        </w:rPr>
        <w:t>2</w:t>
      </w:r>
      <w:r w:rsidR="00355B77">
        <w:rPr>
          <w:lang w:val="en-GB"/>
        </w:rPr>
        <w:fldChar w:fldCharType="end"/>
      </w:r>
      <w:r w:rsidR="00355B77">
        <w:rPr>
          <w:lang w:val="en-GB"/>
        </w:rPr>
        <w:t xml:space="preserve"> </w:t>
      </w:r>
      <w:r>
        <w:rPr>
          <w:lang w:val="en-GB"/>
        </w:rPr>
        <w:t xml:space="preserve">shows two cases for cross carrier DL scheduling with mixed numerology. One case is a larger SCS scheduling a smaller SCS and the other case is opposite. Current HARQ framework with slot (K0) and symbol granularity (N0) for DL data scheduling, further clarification/agreement is necessary to clearly define the distance between the end of PDCCH and the start of data scheduling. </w:t>
      </w:r>
    </w:p>
    <w:p w14:paraId="25E0C945" w14:textId="77777777" w:rsidR="00355B77" w:rsidRDefault="00355B77" w:rsidP="00355B77">
      <w:pPr>
        <w:jc w:val="center"/>
        <w:rPr>
          <w:lang w:val="en-GB"/>
        </w:rPr>
      </w:pPr>
      <w:r w:rsidRPr="00177447">
        <w:object w:dxaOrig="15474" w:dyaOrig="5876" w14:anchorId="7AE25D23">
          <v:shape id="_x0000_i1026" type="#_x0000_t75" style="width:349.15pt;height:133.15pt" o:ole="">
            <v:imagedata r:id="rId16" o:title=""/>
          </v:shape>
          <o:OLEObject Type="Embed" ProgID="Visio.Drawing.11" ShapeID="_x0000_i1026" DrawAspect="Content" ObjectID="_1584556194" r:id="rId17"/>
        </w:object>
      </w:r>
    </w:p>
    <w:p w14:paraId="3B96177C" w14:textId="77777777" w:rsidR="00355B77" w:rsidRPr="00177447" w:rsidRDefault="00355B77" w:rsidP="00355B77">
      <w:pPr>
        <w:pStyle w:val="ListParagraph"/>
        <w:numPr>
          <w:ilvl w:val="0"/>
          <w:numId w:val="4"/>
        </w:numPr>
      </w:pPr>
      <w:r>
        <w:t>Case 1: Larger SCS scheduling smaller SCS</w:t>
      </w:r>
    </w:p>
    <w:p w14:paraId="080FCB77" w14:textId="77777777" w:rsidR="00355B77" w:rsidRDefault="00355B77" w:rsidP="00355B77">
      <w:pPr>
        <w:keepNext/>
        <w:jc w:val="center"/>
        <w:rPr>
          <w:lang w:val="en-GB"/>
        </w:rPr>
      </w:pPr>
      <w:r w:rsidRPr="00177447">
        <w:object w:dxaOrig="15474" w:dyaOrig="5876" w14:anchorId="591BF4CF">
          <v:shape id="_x0000_i1027" type="#_x0000_t75" style="width:349.15pt;height:133.15pt" o:ole="">
            <v:imagedata r:id="rId18" o:title=""/>
          </v:shape>
          <o:OLEObject Type="Embed" ProgID="Visio.Drawing.11" ShapeID="_x0000_i1027" DrawAspect="Content" ObjectID="_1584556195" r:id="rId19"/>
        </w:object>
      </w:r>
    </w:p>
    <w:p w14:paraId="60FD386B" w14:textId="77777777" w:rsidR="00355B77" w:rsidRDefault="00355B77" w:rsidP="00355B77">
      <w:pPr>
        <w:pStyle w:val="ListParagraph"/>
        <w:numPr>
          <w:ilvl w:val="0"/>
          <w:numId w:val="4"/>
        </w:numPr>
      </w:pPr>
      <w:r>
        <w:t>Case 2: Smaller SCS scheduling larger SCS</w:t>
      </w:r>
    </w:p>
    <w:p w14:paraId="6D6A56CE" w14:textId="139D688C" w:rsidR="00355B77" w:rsidRDefault="00355B77" w:rsidP="00355B77">
      <w:pPr>
        <w:pStyle w:val="Caption"/>
        <w:jc w:val="center"/>
      </w:pPr>
      <w:bookmarkStart w:id="49" w:name="_Ref510535377"/>
      <w:r>
        <w:t xml:space="preserve">Figure </w:t>
      </w:r>
      <w:r w:rsidR="000E311C">
        <w:fldChar w:fldCharType="begin"/>
      </w:r>
      <w:r w:rsidR="000E311C">
        <w:instrText xml:space="preserve"> SEQ Figure \* ARABIC </w:instrText>
      </w:r>
      <w:r w:rsidR="000E311C">
        <w:fldChar w:fldCharType="separate"/>
      </w:r>
      <w:r w:rsidR="00ED5580">
        <w:rPr>
          <w:noProof/>
        </w:rPr>
        <w:t>2</w:t>
      </w:r>
      <w:r w:rsidR="000E311C">
        <w:rPr>
          <w:noProof/>
        </w:rPr>
        <w:fldChar w:fldCharType="end"/>
      </w:r>
      <w:bookmarkEnd w:id="49"/>
      <w:r>
        <w:t>: Cross carrier DL scheduling with mixed numerology</w:t>
      </w:r>
    </w:p>
    <w:p w14:paraId="258B615C" w14:textId="77777777" w:rsidR="00355B77" w:rsidRPr="00355B77" w:rsidRDefault="00355B77" w:rsidP="005A54DF"/>
    <w:p w14:paraId="2DD1E197" w14:textId="63B5302B" w:rsidR="005A54DF" w:rsidRDefault="005A54DF" w:rsidP="005A54DF">
      <w:pPr>
        <w:rPr>
          <w:lang w:val="en-GB"/>
        </w:rPr>
      </w:pPr>
      <w:r>
        <w:rPr>
          <w:lang w:val="en-GB"/>
        </w:rPr>
        <w:t xml:space="preserve">For </w:t>
      </w:r>
      <w:r w:rsidR="00355B77">
        <w:rPr>
          <w:lang w:val="en-GB"/>
        </w:rPr>
        <w:t>C</w:t>
      </w:r>
      <w:r>
        <w:rPr>
          <w:lang w:val="en-GB"/>
        </w:rPr>
        <w:t>ase 1, there can be ambiguities on:</w:t>
      </w:r>
    </w:p>
    <w:p w14:paraId="67C8184C" w14:textId="77777777" w:rsidR="005A54DF" w:rsidRDefault="005A54DF" w:rsidP="00C359AA">
      <w:pPr>
        <w:pStyle w:val="ListParagraph"/>
        <w:numPr>
          <w:ilvl w:val="0"/>
          <w:numId w:val="5"/>
        </w:numPr>
      </w:pPr>
      <w:r>
        <w:t>Do we first allow PDCCH on slot 2n+1 allows scheduling in slot m?</w:t>
      </w:r>
    </w:p>
    <w:p w14:paraId="02590F87" w14:textId="77777777" w:rsidR="005A54DF" w:rsidRDefault="005A54DF" w:rsidP="00C359AA">
      <w:pPr>
        <w:pStyle w:val="ListParagraph"/>
        <w:numPr>
          <w:ilvl w:val="1"/>
          <w:numId w:val="5"/>
        </w:numPr>
      </w:pPr>
      <w:r>
        <w:t>To restrict UE complexity, it is proposed that cross carrier scheduling is allowed toward equal or later slot only (defined by the beginning of the slot). In other words, slot 2n+1 cannot schedule the data in slot m. Otherwise, we will introduce additional complexity compared to the same numerology scheduling (i.e., similar to allowing PDCCH anywhere in slot for slot-based scheduling).</w:t>
      </w:r>
    </w:p>
    <w:p w14:paraId="2DB56172" w14:textId="77777777" w:rsidR="005A54DF" w:rsidRDefault="005A54DF" w:rsidP="00C359AA">
      <w:pPr>
        <w:pStyle w:val="ListParagraph"/>
        <w:numPr>
          <w:ilvl w:val="0"/>
          <w:numId w:val="5"/>
        </w:numPr>
      </w:pPr>
      <w:r w:rsidRPr="00460DF0">
        <w:t>How to define K0 from slot 2n and 2n+1 respectively</w:t>
      </w:r>
    </w:p>
    <w:p w14:paraId="22681D1F" w14:textId="77777777" w:rsidR="005A54DF" w:rsidRDefault="005A54DF" w:rsidP="00C359AA">
      <w:pPr>
        <w:pStyle w:val="ListParagraph"/>
        <w:numPr>
          <w:ilvl w:val="1"/>
          <w:numId w:val="5"/>
        </w:numPr>
      </w:pPr>
      <w:r>
        <w:t>It was agreed that the distance between the end of PDCCH and the start of PDSCH is based on the numerology of data transmission. Slot m is considered as K0=0 for both slot 2n and slot 2n+1. Therefore, when a larger SCS schedules a smaller SCS, it is proposed that the overlapping slot is considered as K0=0.</w:t>
      </w:r>
    </w:p>
    <w:p w14:paraId="2C9A86B2" w14:textId="06EB58B1" w:rsidR="006A76A6" w:rsidRDefault="006A76A6" w:rsidP="006A76A6">
      <w:pPr>
        <w:pStyle w:val="Caption"/>
      </w:pPr>
      <w:bookmarkStart w:id="50" w:name="_Toc498708257"/>
      <w:bookmarkStart w:id="51" w:name="_Toc498708423"/>
      <w:bookmarkStart w:id="52" w:name="_Toc498714724"/>
      <w:bookmarkStart w:id="53" w:name="_Toc498714741"/>
      <w:bookmarkStart w:id="54" w:name="_Toc498716910"/>
      <w:bookmarkStart w:id="55" w:name="_Toc498716975"/>
      <w:bookmarkStart w:id="56" w:name="_Toc498720478"/>
      <w:bookmarkStart w:id="57" w:name="_Toc498720514"/>
      <w:bookmarkStart w:id="58" w:name="_Toc503314555"/>
      <w:bookmarkStart w:id="59" w:name="_Toc503531338"/>
      <w:bookmarkStart w:id="60" w:name="_Toc503532185"/>
      <w:bookmarkStart w:id="61" w:name="_Toc503546290"/>
      <w:bookmarkStart w:id="62" w:name="_Toc506581789"/>
      <w:bookmarkStart w:id="63" w:name="_Toc506582116"/>
      <w:bookmarkStart w:id="64" w:name="_Toc506582138"/>
      <w:bookmarkStart w:id="65" w:name="_Toc510530202"/>
      <w:bookmarkStart w:id="66" w:name="_Toc510530375"/>
      <w:bookmarkStart w:id="67" w:name="_Toc510571488"/>
      <w:bookmarkStart w:id="68" w:name="_Toc510655942"/>
      <w:bookmarkStart w:id="69" w:name="_Toc510686222"/>
      <w:bookmarkStart w:id="70" w:name="_Toc510786121"/>
      <w:bookmarkStart w:id="71" w:name="_Toc510788215"/>
      <w:bookmarkStart w:id="72" w:name="_Toc510805185"/>
      <w:bookmarkStart w:id="73" w:name="_Toc510805341"/>
      <w:bookmarkStart w:id="74" w:name="_Toc510805580"/>
      <w:bookmarkStart w:id="75" w:name="_Toc494713330"/>
      <w:bookmarkStart w:id="76" w:name="_Toc494713418"/>
      <w:bookmarkStart w:id="77" w:name="_Toc494734985"/>
      <w:bookmarkStart w:id="78" w:name="_Toc494735051"/>
      <w:bookmarkStart w:id="79" w:name="_Toc494735628"/>
      <w:bookmarkStart w:id="80" w:name="_Toc494745992"/>
      <w:bookmarkStart w:id="81" w:name="_Toc494746309"/>
      <w:bookmarkStart w:id="82" w:name="_Toc498464659"/>
      <w:bookmarkStart w:id="83" w:name="_Toc498464677"/>
      <w:bookmarkStart w:id="84" w:name="_Toc498679760"/>
      <w:bookmarkStart w:id="85" w:name="_Toc498680120"/>
      <w:bookmarkStart w:id="86" w:name="_Toc498680600"/>
      <w:bookmarkStart w:id="87" w:name="_Toc498680632"/>
      <w:bookmarkStart w:id="88" w:name="_Toc498680826"/>
      <w:bookmarkStart w:id="89" w:name="_Toc498681356"/>
      <w:bookmarkStart w:id="90" w:name="_Toc510814013"/>
      <w:r>
        <w:t xml:space="preserve">Proposal </w:t>
      </w:r>
      <w:r w:rsidR="000E311C">
        <w:fldChar w:fldCharType="begin"/>
      </w:r>
      <w:r w:rsidR="000E311C">
        <w:instrText xml:space="preserve"> SEQ Proposal \* ARABIC </w:instrText>
      </w:r>
      <w:r w:rsidR="000E311C">
        <w:fldChar w:fldCharType="separate"/>
      </w:r>
      <w:r w:rsidR="00ED5580">
        <w:rPr>
          <w:noProof/>
        </w:rPr>
        <w:t>8</w:t>
      </w:r>
      <w:r w:rsidR="000E311C">
        <w:rPr>
          <w:noProof/>
        </w:rPr>
        <w:fldChar w:fldCharType="end"/>
      </w:r>
      <w:r>
        <w:t>:</w:t>
      </w:r>
      <w:r w:rsidRPr="006A76A6">
        <w:t xml:space="preserve"> </w:t>
      </w:r>
      <w:r w:rsidRPr="0053268B">
        <w:t>Cross carrier slot-based scheduling is allowed toward equal or later slot only (defined by the beginning of the slot).</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90"/>
    </w:p>
    <w:p w14:paraId="0BAD334C" w14:textId="677C2D5A" w:rsidR="005A54DF" w:rsidRPr="0053268B" w:rsidRDefault="005A54DF" w:rsidP="0053268B">
      <w:pPr>
        <w:pStyle w:val="Caption"/>
      </w:pPr>
      <w:bookmarkStart w:id="91" w:name="_Toc494713331"/>
      <w:bookmarkStart w:id="92" w:name="_Toc494713419"/>
      <w:bookmarkStart w:id="93" w:name="_Toc494734986"/>
      <w:bookmarkStart w:id="94" w:name="_Toc494735052"/>
      <w:bookmarkStart w:id="95" w:name="_Toc494735629"/>
      <w:bookmarkStart w:id="96" w:name="_Toc494745993"/>
      <w:bookmarkStart w:id="97" w:name="_Toc494746310"/>
      <w:bookmarkStart w:id="98" w:name="_Toc498464660"/>
      <w:bookmarkStart w:id="99" w:name="_Toc498464678"/>
      <w:bookmarkStart w:id="100" w:name="_Toc498679761"/>
      <w:bookmarkStart w:id="101" w:name="_Toc498680121"/>
      <w:bookmarkStart w:id="102" w:name="_Toc498680601"/>
      <w:bookmarkStart w:id="103" w:name="_Toc498680633"/>
      <w:bookmarkStart w:id="104" w:name="_Toc498680827"/>
      <w:bookmarkStart w:id="105" w:name="_Toc498681357"/>
      <w:bookmarkStart w:id="106" w:name="_Toc498708258"/>
      <w:bookmarkStart w:id="107" w:name="_Toc498708424"/>
      <w:bookmarkStart w:id="108" w:name="_Toc498714725"/>
      <w:bookmarkStart w:id="109" w:name="_Toc498714742"/>
      <w:bookmarkStart w:id="110" w:name="_Toc498716911"/>
      <w:bookmarkStart w:id="111" w:name="_Toc498716976"/>
      <w:bookmarkStart w:id="112" w:name="_Toc498720479"/>
      <w:bookmarkStart w:id="113" w:name="_Toc498720515"/>
      <w:bookmarkStart w:id="114" w:name="_Toc503314556"/>
      <w:bookmarkStart w:id="115" w:name="_Toc503531339"/>
      <w:bookmarkStart w:id="116" w:name="_Toc503532186"/>
      <w:bookmarkStart w:id="117" w:name="_Toc503546291"/>
      <w:bookmarkStart w:id="118" w:name="_Toc506581790"/>
      <w:bookmarkStart w:id="119" w:name="_Toc506582117"/>
      <w:bookmarkStart w:id="120" w:name="_Toc506582139"/>
      <w:bookmarkStart w:id="121" w:name="_Toc510530203"/>
      <w:bookmarkStart w:id="122" w:name="_Toc510530376"/>
      <w:bookmarkStart w:id="123" w:name="_Toc510571489"/>
      <w:bookmarkStart w:id="124" w:name="_Toc510655943"/>
      <w:bookmarkStart w:id="125" w:name="_Toc510686223"/>
      <w:bookmarkStart w:id="126" w:name="_Toc510786122"/>
      <w:bookmarkStart w:id="127" w:name="_Toc510788216"/>
      <w:bookmarkStart w:id="128" w:name="_Toc510805186"/>
      <w:bookmarkStart w:id="129" w:name="_Toc510805342"/>
      <w:bookmarkStart w:id="130" w:name="_Toc510805581"/>
      <w:bookmarkStart w:id="131" w:name="_Toc51081401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r w:rsidRPr="0053268B">
        <w:t xml:space="preserve">Proposal </w:t>
      </w:r>
      <w:r w:rsidR="000E311C">
        <w:fldChar w:fldCharType="begin"/>
      </w:r>
      <w:r w:rsidR="000E311C">
        <w:instrText xml:space="preserve"> SEQ Proposal \* ARABIC </w:instrText>
      </w:r>
      <w:r w:rsidR="000E311C">
        <w:fldChar w:fldCharType="separate"/>
      </w:r>
      <w:r w:rsidR="00ED5580">
        <w:rPr>
          <w:noProof/>
        </w:rPr>
        <w:t>9</w:t>
      </w:r>
      <w:r w:rsidR="000E311C">
        <w:rPr>
          <w:noProof/>
        </w:rPr>
        <w:fldChar w:fldCharType="end"/>
      </w:r>
      <w:r w:rsidRPr="0053268B">
        <w:t>: When a larger SCS schedules a smaller SCS for DL data, the overlapping slot is considered as K0=0.</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0E959459" w14:textId="2434E48F" w:rsidR="005A54DF" w:rsidRDefault="005A54DF" w:rsidP="005A54DF">
      <w:pPr>
        <w:rPr>
          <w:lang w:val="en-GB"/>
        </w:rPr>
      </w:pPr>
      <w:r>
        <w:rPr>
          <w:lang w:val="en-GB"/>
        </w:rPr>
        <w:t xml:space="preserve">For </w:t>
      </w:r>
      <w:r w:rsidR="00355B77">
        <w:rPr>
          <w:lang w:val="en-GB"/>
        </w:rPr>
        <w:t>C</w:t>
      </w:r>
      <w:r>
        <w:rPr>
          <w:lang w:val="en-GB"/>
        </w:rPr>
        <w:t>ase 2, K0 definition also needs clarification. For example, should we call slot 2n+1 as K0=0 or 1? If we try to be based on the numerology of the data transmission, K0=1 may be more adequate. Otherwise, we need to introduce N0 larger than 14. When a smaller SCS schedules a larger SCS, it is proposed that K0=0 is defined for the slot whose beginning slot boundary is aligned with the beginning slot boundary with PDCCH.</w:t>
      </w:r>
    </w:p>
    <w:p w14:paraId="4F7410F5" w14:textId="3B68D47F" w:rsidR="006A76A6" w:rsidRDefault="006A76A6" w:rsidP="006A76A6">
      <w:pPr>
        <w:pStyle w:val="Caption"/>
        <w:rPr>
          <w:lang w:val="en-GB"/>
        </w:rPr>
      </w:pPr>
      <w:bookmarkStart w:id="132" w:name="_Toc498708425"/>
      <w:bookmarkStart w:id="133" w:name="_Toc498714726"/>
      <w:bookmarkStart w:id="134" w:name="_Toc498714743"/>
      <w:bookmarkStart w:id="135" w:name="_Toc498716912"/>
      <w:bookmarkStart w:id="136" w:name="_Toc498716977"/>
      <w:bookmarkStart w:id="137" w:name="_Toc498720480"/>
      <w:bookmarkStart w:id="138" w:name="_Toc498720516"/>
      <w:bookmarkStart w:id="139" w:name="_Toc503314557"/>
      <w:bookmarkStart w:id="140" w:name="_Toc503531340"/>
      <w:bookmarkStart w:id="141" w:name="_Toc503532187"/>
      <w:bookmarkStart w:id="142" w:name="_Toc503546292"/>
      <w:bookmarkStart w:id="143" w:name="_Toc506581791"/>
      <w:bookmarkStart w:id="144" w:name="_Toc506582118"/>
      <w:bookmarkStart w:id="145" w:name="_Toc506582140"/>
      <w:bookmarkStart w:id="146" w:name="_Toc510530204"/>
      <w:bookmarkStart w:id="147" w:name="_Toc510530377"/>
      <w:bookmarkStart w:id="148" w:name="_Toc510571490"/>
      <w:bookmarkStart w:id="149" w:name="_Toc510655944"/>
      <w:bookmarkStart w:id="150" w:name="_Toc510686224"/>
      <w:bookmarkStart w:id="151" w:name="_Toc510786123"/>
      <w:bookmarkStart w:id="152" w:name="_Toc510788217"/>
      <w:bookmarkStart w:id="153" w:name="_Toc510805187"/>
      <w:bookmarkStart w:id="154" w:name="_Toc510805343"/>
      <w:bookmarkStart w:id="155" w:name="_Toc510805582"/>
      <w:bookmarkStart w:id="156" w:name="_Toc510814015"/>
      <w:r>
        <w:t xml:space="preserve">Proposal </w:t>
      </w:r>
      <w:r w:rsidR="000E311C">
        <w:fldChar w:fldCharType="begin"/>
      </w:r>
      <w:r w:rsidR="000E311C">
        <w:instrText xml:space="preserve"> SEQ Proposal \* ARABIC </w:instrText>
      </w:r>
      <w:r w:rsidR="000E311C">
        <w:fldChar w:fldCharType="separate"/>
      </w:r>
      <w:r w:rsidR="00ED5580">
        <w:rPr>
          <w:noProof/>
        </w:rPr>
        <w:t>10</w:t>
      </w:r>
      <w:r w:rsidR="000E311C">
        <w:rPr>
          <w:noProof/>
        </w:rPr>
        <w:fldChar w:fldCharType="end"/>
      </w:r>
      <w:r>
        <w:t xml:space="preserve">: </w:t>
      </w:r>
      <w:r w:rsidRPr="0053268B">
        <w:t>When a smaller SCS schedules a larger SCS for DL data, K0=0 is defined for the slot whose beginning slot boundary is aligned with that of the slot containing PDCCH with DL grant.</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412141C" w14:textId="77777777" w:rsidR="00355B77" w:rsidRDefault="00355B77" w:rsidP="005A54DF">
      <w:pPr>
        <w:rPr>
          <w:lang w:val="en-GB"/>
        </w:rPr>
      </w:pPr>
    </w:p>
    <w:p w14:paraId="1FAC245D" w14:textId="0C9A5377" w:rsidR="005A54DF" w:rsidRDefault="005A54DF" w:rsidP="005A54DF">
      <w:pPr>
        <w:rPr>
          <w:lang w:val="en-GB"/>
        </w:rPr>
      </w:pPr>
      <w:r>
        <w:rPr>
          <w:lang w:val="en-GB"/>
        </w:rPr>
        <w:t xml:space="preserve">Another issue with cross carrier scheduling is whether to have a joint grant or separate grant. For case 1, cross carrier scheduling is not different from the cross carrier scheduling with same numerology in terms of necessary grants. For case 2, given multiple slots overlapping with the slot with PDCCH, there can be a separate DCI per grant or a joint DCI for multiple grants. </w:t>
      </w:r>
      <w:r w:rsidR="00CC7A88">
        <w:rPr>
          <w:lang w:val="en-GB"/>
        </w:rPr>
        <w:t xml:space="preserve">At least for Rel-15, support for </w:t>
      </w:r>
      <w:r>
        <w:rPr>
          <w:lang w:val="en-GB"/>
        </w:rPr>
        <w:t xml:space="preserve">a separate DCI per grant </w:t>
      </w:r>
      <w:r w:rsidR="00CC7A88">
        <w:rPr>
          <w:lang w:val="en-GB"/>
        </w:rPr>
        <w:t>leads to a more scalable design</w:t>
      </w:r>
      <w:r>
        <w:rPr>
          <w:lang w:val="en-GB"/>
        </w:rPr>
        <w:t xml:space="preserve">. On the other hand, a joint grant will be more spectrally efficient in terms of resource utilization. </w:t>
      </w:r>
      <w:r w:rsidR="00CC7A88">
        <w:rPr>
          <w:lang w:val="en-GB"/>
        </w:rPr>
        <w:t xml:space="preserve">To avoid impact to DCI blind decoding, support </w:t>
      </w:r>
      <w:r w:rsidR="00FD012B">
        <w:rPr>
          <w:lang w:val="en-GB"/>
        </w:rPr>
        <w:t xml:space="preserve">for joint grant </w:t>
      </w:r>
      <w:r w:rsidR="00CC7A88">
        <w:rPr>
          <w:lang w:val="en-GB"/>
        </w:rPr>
        <w:t>is not recommended.</w:t>
      </w:r>
    </w:p>
    <w:p w14:paraId="5407A0CE" w14:textId="17C91BFF" w:rsidR="006A76A6" w:rsidRDefault="006A76A6" w:rsidP="006A76A6">
      <w:pPr>
        <w:pStyle w:val="Caption"/>
        <w:rPr>
          <w:lang w:val="en-GB"/>
        </w:rPr>
      </w:pPr>
      <w:bookmarkStart w:id="157" w:name="_Toc510786124"/>
      <w:bookmarkStart w:id="158" w:name="_Toc510788218"/>
      <w:bookmarkStart w:id="159" w:name="_Toc498708426"/>
      <w:bookmarkStart w:id="160" w:name="_Toc498714727"/>
      <w:bookmarkStart w:id="161" w:name="_Toc498714744"/>
      <w:bookmarkStart w:id="162" w:name="_Toc498716913"/>
      <w:bookmarkStart w:id="163" w:name="_Toc498716978"/>
      <w:bookmarkStart w:id="164" w:name="_Toc498720481"/>
      <w:bookmarkStart w:id="165" w:name="_Toc498720517"/>
      <w:bookmarkStart w:id="166" w:name="_Toc503314558"/>
      <w:bookmarkStart w:id="167" w:name="_Toc503531341"/>
      <w:bookmarkStart w:id="168" w:name="_Toc503532188"/>
      <w:bookmarkStart w:id="169" w:name="_Toc503546293"/>
      <w:bookmarkStart w:id="170" w:name="_Toc506581792"/>
      <w:bookmarkStart w:id="171" w:name="_Toc506582119"/>
      <w:bookmarkStart w:id="172" w:name="_Toc506582141"/>
      <w:bookmarkStart w:id="173" w:name="_Toc510530205"/>
      <w:bookmarkStart w:id="174" w:name="_Toc510530378"/>
      <w:bookmarkStart w:id="175" w:name="_Toc510571491"/>
      <w:bookmarkStart w:id="176" w:name="_Toc510655945"/>
      <w:bookmarkStart w:id="177" w:name="_Toc510686225"/>
      <w:bookmarkStart w:id="178" w:name="_Toc510805188"/>
      <w:bookmarkStart w:id="179" w:name="_Toc510805344"/>
      <w:bookmarkStart w:id="180" w:name="_Toc510805583"/>
      <w:bookmarkStart w:id="181" w:name="_Toc510814016"/>
      <w:r>
        <w:t xml:space="preserve">Proposal </w:t>
      </w:r>
      <w:r w:rsidR="000E311C">
        <w:fldChar w:fldCharType="begin"/>
      </w:r>
      <w:r w:rsidR="000E311C">
        <w:instrText xml:space="preserve"> SEQ Proposal \* ARABIC </w:instrText>
      </w:r>
      <w:r w:rsidR="000E311C">
        <w:fldChar w:fldCharType="separate"/>
      </w:r>
      <w:r w:rsidR="00ED5580">
        <w:rPr>
          <w:noProof/>
        </w:rPr>
        <w:t>11</w:t>
      </w:r>
      <w:r w:rsidR="000E311C">
        <w:rPr>
          <w:noProof/>
        </w:rPr>
        <w:fldChar w:fldCharType="end"/>
      </w:r>
      <w:r>
        <w:t xml:space="preserve">: </w:t>
      </w:r>
      <w:r w:rsidRPr="0053268B">
        <w:t>A separate DCI per grant is supported for cross carrier scheduling with mixed numerology</w:t>
      </w:r>
      <w:r w:rsidR="00CC7A88">
        <w:t xml:space="preserve"> in Rel-15</w:t>
      </w:r>
      <w:r w:rsidRPr="0053268B">
        <w:t>.</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17734316" w14:textId="77777777" w:rsidR="00736732" w:rsidRDefault="00736732" w:rsidP="005A54DF">
      <w:pPr>
        <w:rPr>
          <w:lang w:val="en-GB"/>
        </w:rPr>
      </w:pPr>
    </w:p>
    <w:p w14:paraId="3B27DAB1" w14:textId="2C1AB3DF" w:rsidR="005A54DF" w:rsidRDefault="005A54DF" w:rsidP="005A54DF">
      <w:pPr>
        <w:rPr>
          <w:lang w:val="en-GB"/>
        </w:rPr>
      </w:pPr>
      <w:r>
        <w:rPr>
          <w:lang w:val="en-GB"/>
        </w:rPr>
        <w:t>Although Figure 1 shows DL scheduling, same case exists for UL data scheduling. Proposal 1 through 3 can be applicable for both DL and UL scheduling. Therefore, the following additional proposals can be made.</w:t>
      </w:r>
    </w:p>
    <w:p w14:paraId="41632D7D" w14:textId="09241869" w:rsidR="006A76A6" w:rsidRDefault="006A76A6" w:rsidP="006A76A6">
      <w:pPr>
        <w:pStyle w:val="Caption"/>
      </w:pPr>
      <w:bookmarkStart w:id="182" w:name="_Toc498708427"/>
      <w:bookmarkStart w:id="183" w:name="_Toc498714728"/>
      <w:bookmarkStart w:id="184" w:name="_Toc498714745"/>
      <w:bookmarkStart w:id="185" w:name="_Toc498716914"/>
      <w:bookmarkStart w:id="186" w:name="_Toc498716979"/>
      <w:bookmarkStart w:id="187" w:name="_Toc498720482"/>
      <w:bookmarkStart w:id="188" w:name="_Toc498720518"/>
      <w:bookmarkStart w:id="189" w:name="_Toc503314559"/>
      <w:bookmarkStart w:id="190" w:name="_Toc503531342"/>
      <w:bookmarkStart w:id="191" w:name="_Toc503532189"/>
      <w:bookmarkStart w:id="192" w:name="_Toc503546294"/>
      <w:bookmarkStart w:id="193" w:name="_Toc506581793"/>
      <w:bookmarkStart w:id="194" w:name="_Toc506582120"/>
      <w:bookmarkStart w:id="195" w:name="_Toc506582142"/>
      <w:bookmarkStart w:id="196" w:name="_Toc510530206"/>
      <w:bookmarkStart w:id="197" w:name="_Toc510530379"/>
      <w:bookmarkStart w:id="198" w:name="_Toc510571492"/>
      <w:bookmarkStart w:id="199" w:name="_Toc510655946"/>
      <w:bookmarkStart w:id="200" w:name="_Toc510686226"/>
      <w:bookmarkStart w:id="201" w:name="_Toc510786125"/>
      <w:bookmarkStart w:id="202" w:name="_Toc510788219"/>
      <w:bookmarkStart w:id="203" w:name="_Toc510805189"/>
      <w:bookmarkStart w:id="204" w:name="_Toc510805345"/>
      <w:bookmarkStart w:id="205" w:name="_Toc510805584"/>
      <w:bookmarkStart w:id="206" w:name="_Toc510814017"/>
      <w:r>
        <w:t xml:space="preserve">Proposal </w:t>
      </w:r>
      <w:r w:rsidR="000E311C">
        <w:fldChar w:fldCharType="begin"/>
      </w:r>
      <w:r w:rsidR="000E311C">
        <w:instrText xml:space="preserve"> SEQ Proposal \* ARABIC </w:instrText>
      </w:r>
      <w:r w:rsidR="000E311C">
        <w:fldChar w:fldCharType="separate"/>
      </w:r>
      <w:r w:rsidR="00ED5580">
        <w:rPr>
          <w:noProof/>
        </w:rPr>
        <w:t>12</w:t>
      </w:r>
      <w:r w:rsidR="000E311C">
        <w:rPr>
          <w:noProof/>
        </w:rPr>
        <w:fldChar w:fldCharType="end"/>
      </w:r>
      <w:r>
        <w:t xml:space="preserve">: </w:t>
      </w:r>
      <w:r w:rsidRPr="0053268B">
        <w:t>When a larger SCS schedules a smaller SCS for UL data, the overlapping slot is considered as K2=0.</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196B9377" w14:textId="7FD7385F" w:rsidR="006A76A6" w:rsidRPr="006A76A6" w:rsidRDefault="006A76A6" w:rsidP="006A76A6">
      <w:pPr>
        <w:pStyle w:val="Caption"/>
      </w:pPr>
      <w:bookmarkStart w:id="207" w:name="_Hlk506561718"/>
      <w:bookmarkStart w:id="208" w:name="_Hlk506561728"/>
      <w:bookmarkStart w:id="209" w:name="_Toc498708428"/>
      <w:bookmarkStart w:id="210" w:name="_Toc498714729"/>
      <w:bookmarkStart w:id="211" w:name="_Toc498714746"/>
      <w:bookmarkStart w:id="212" w:name="_Toc498716915"/>
      <w:bookmarkStart w:id="213" w:name="_Toc498716980"/>
      <w:bookmarkStart w:id="214" w:name="_Toc498720483"/>
      <w:bookmarkStart w:id="215" w:name="_Toc498720519"/>
      <w:bookmarkStart w:id="216" w:name="_Toc503314560"/>
      <w:bookmarkStart w:id="217" w:name="_Toc503531343"/>
      <w:bookmarkStart w:id="218" w:name="_Toc503532190"/>
      <w:bookmarkStart w:id="219" w:name="_Toc503546295"/>
      <w:bookmarkStart w:id="220" w:name="_Toc506581794"/>
      <w:bookmarkStart w:id="221" w:name="_Toc506582121"/>
      <w:bookmarkStart w:id="222" w:name="_Toc506582143"/>
      <w:bookmarkStart w:id="223" w:name="_Toc510530207"/>
      <w:bookmarkStart w:id="224" w:name="_Toc510530380"/>
      <w:bookmarkStart w:id="225" w:name="_Toc510571493"/>
      <w:bookmarkStart w:id="226" w:name="_Toc510655947"/>
      <w:bookmarkStart w:id="227" w:name="_Toc510686227"/>
      <w:bookmarkStart w:id="228" w:name="_Toc510786126"/>
      <w:bookmarkStart w:id="229" w:name="_Toc510788220"/>
      <w:bookmarkStart w:id="230" w:name="_Toc510805190"/>
      <w:bookmarkStart w:id="231" w:name="_Toc510805346"/>
      <w:bookmarkStart w:id="232" w:name="_Toc510805585"/>
      <w:bookmarkStart w:id="233" w:name="_Toc510814018"/>
      <w:r>
        <w:t xml:space="preserve">Proposal </w:t>
      </w:r>
      <w:r w:rsidR="000E311C">
        <w:fldChar w:fldCharType="begin"/>
      </w:r>
      <w:r w:rsidR="000E311C">
        <w:instrText xml:space="preserve"> SEQ Proposal \* ARABIC </w:instrText>
      </w:r>
      <w:r w:rsidR="000E311C">
        <w:fldChar w:fldCharType="separate"/>
      </w:r>
      <w:r w:rsidR="00ED5580">
        <w:rPr>
          <w:noProof/>
        </w:rPr>
        <w:t>13</w:t>
      </w:r>
      <w:r w:rsidR="000E311C">
        <w:rPr>
          <w:noProof/>
        </w:rPr>
        <w:fldChar w:fldCharType="end"/>
      </w:r>
      <w:bookmarkEnd w:id="207"/>
      <w:r>
        <w:t xml:space="preserve">: </w:t>
      </w:r>
      <w:r w:rsidRPr="0053268B">
        <w:t xml:space="preserve">When </w:t>
      </w:r>
      <w:bookmarkEnd w:id="208"/>
      <w:r w:rsidRPr="0053268B">
        <w:t>a smaller SCS schedules a larger SCS for UL data, K2=0 is defined for the slot whose beginning slot boundary is aligned with that of the slot containing PDCCH with UL grant.</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3E68AC33" w14:textId="77777777" w:rsidR="00CC124C" w:rsidRPr="00CC124C" w:rsidRDefault="00CC124C" w:rsidP="00CC124C">
      <w:pPr>
        <w:jc w:val="both"/>
        <w:rPr>
          <w:lang w:eastAsia="x-none"/>
        </w:rPr>
      </w:pPr>
    </w:p>
    <w:p w14:paraId="3FB31C19" w14:textId="59559352" w:rsidR="00CC124C" w:rsidRPr="00CC124C" w:rsidRDefault="00CC124C" w:rsidP="00CC124C">
      <w:pPr>
        <w:jc w:val="both"/>
        <w:rPr>
          <w:lang w:eastAsia="x-none"/>
        </w:rPr>
      </w:pPr>
      <w:r w:rsidRPr="00CC124C">
        <w:rPr>
          <w:lang w:eastAsia="x-none"/>
        </w:rPr>
        <w:t xml:space="preserve">In </w:t>
      </w:r>
      <w:r w:rsidRPr="00CC124C">
        <w:rPr>
          <w:lang w:eastAsia="x-none"/>
        </w:rPr>
        <w:fldChar w:fldCharType="begin"/>
      </w:r>
      <w:r w:rsidRPr="00CC124C">
        <w:rPr>
          <w:lang w:eastAsia="x-none"/>
        </w:rPr>
        <w:instrText xml:space="preserve"> REF _Ref506454442 \h  \* MERGEFORMAT </w:instrText>
      </w:r>
      <w:r w:rsidRPr="00CC124C">
        <w:rPr>
          <w:lang w:eastAsia="x-none"/>
        </w:rPr>
      </w:r>
      <w:r w:rsidRPr="00CC124C">
        <w:rPr>
          <w:lang w:eastAsia="x-none"/>
        </w:rPr>
        <w:fldChar w:fldCharType="separate"/>
      </w:r>
      <w:r w:rsidR="00ED5580" w:rsidRPr="00743D54">
        <w:t xml:space="preserve">Figure </w:t>
      </w:r>
      <w:r w:rsidR="00ED5580">
        <w:rPr>
          <w:noProof/>
        </w:rPr>
        <w:t>3</w:t>
      </w:r>
      <w:r w:rsidRPr="00CC124C">
        <w:rPr>
          <w:lang w:eastAsia="x-none"/>
        </w:rPr>
        <w:fldChar w:fldCharType="end"/>
      </w:r>
      <w:r w:rsidRPr="00CC124C">
        <w:rPr>
          <w:lang w:eastAsia="x-none"/>
        </w:rPr>
        <w:t xml:space="preserve">, two different types of cross carrier mixed numerology scheduling are presented. </w:t>
      </w:r>
      <w:r w:rsidR="00A15A89">
        <w:rPr>
          <w:lang w:eastAsia="x-none"/>
        </w:rPr>
        <w:fldChar w:fldCharType="begin"/>
      </w:r>
      <w:r w:rsidR="00A15A89">
        <w:rPr>
          <w:lang w:eastAsia="x-none"/>
        </w:rPr>
        <w:instrText xml:space="preserve"> REF _Ref506454442 \h </w:instrText>
      </w:r>
      <w:r w:rsidR="00A15A89">
        <w:rPr>
          <w:lang w:eastAsia="x-none"/>
        </w:rPr>
      </w:r>
      <w:r w:rsidR="00A15A89">
        <w:rPr>
          <w:lang w:eastAsia="x-none"/>
        </w:rPr>
        <w:fldChar w:fldCharType="separate"/>
      </w:r>
      <w:r w:rsidR="00ED5580" w:rsidRPr="00743D54">
        <w:t xml:space="preserve">Figure </w:t>
      </w:r>
      <w:r w:rsidR="00ED5580">
        <w:rPr>
          <w:noProof/>
        </w:rPr>
        <w:t>3</w:t>
      </w:r>
      <w:r w:rsidR="00A15A89">
        <w:rPr>
          <w:lang w:eastAsia="x-none"/>
        </w:rPr>
        <w:fldChar w:fldCharType="end"/>
      </w:r>
      <w:r w:rsidRPr="00CC124C">
        <w:rPr>
          <w:lang w:eastAsia="x-none"/>
        </w:rPr>
        <w:t xml:space="preserve">(a) illustrates the case when carrier 1 schedules multiple TBs in CC2 without slot aggregation. </w:t>
      </w:r>
      <w:r w:rsidR="00A15A89">
        <w:rPr>
          <w:lang w:eastAsia="x-none"/>
        </w:rPr>
        <w:fldChar w:fldCharType="begin"/>
      </w:r>
      <w:r w:rsidR="00A15A89">
        <w:rPr>
          <w:lang w:eastAsia="x-none"/>
        </w:rPr>
        <w:instrText xml:space="preserve"> REF _Ref506454442 \h </w:instrText>
      </w:r>
      <w:r w:rsidR="00A15A89">
        <w:rPr>
          <w:lang w:eastAsia="x-none"/>
        </w:rPr>
      </w:r>
      <w:r w:rsidR="00A15A89">
        <w:rPr>
          <w:lang w:eastAsia="x-none"/>
        </w:rPr>
        <w:fldChar w:fldCharType="separate"/>
      </w:r>
      <w:r w:rsidR="00ED5580" w:rsidRPr="00743D54">
        <w:t xml:space="preserve">Figure </w:t>
      </w:r>
      <w:r w:rsidR="00ED5580">
        <w:rPr>
          <w:noProof/>
        </w:rPr>
        <w:t>3</w:t>
      </w:r>
      <w:r w:rsidR="00A15A89">
        <w:rPr>
          <w:lang w:eastAsia="x-none"/>
        </w:rPr>
        <w:fldChar w:fldCharType="end"/>
      </w:r>
      <w:r w:rsidR="00A15A89">
        <w:rPr>
          <w:lang w:eastAsia="x-none"/>
        </w:rPr>
        <w:t>(</w:t>
      </w:r>
      <w:r w:rsidRPr="00CC124C">
        <w:rPr>
          <w:lang w:eastAsia="x-none"/>
        </w:rPr>
        <w:t>b) illustrate the case when carrier 1 schedules the same TB across multiple slots with slot aggregation. In the first case, one DCI per TB is desirable given that joint DCI complicates UE blind decoding and leads to potentially very large DCI size. On the other hand, for the second case, given that only one TB is scheduled, and that the scheduled multiple slots correspond to a RV sequence, it makes sense to use a single DCI to schedule the aggregated transmission. Regarding HARQ timing, the K1 timing starts from the end of the last transmission in the aggregated transmissions.</w:t>
      </w:r>
    </w:p>
    <w:p w14:paraId="0CEF4395" w14:textId="77777777" w:rsidR="00D81303" w:rsidRPr="00CC124C" w:rsidRDefault="00D81303" w:rsidP="00D81303">
      <w:pPr>
        <w:keepNext/>
      </w:pPr>
      <w:r w:rsidRPr="00CC124C">
        <w:object w:dxaOrig="19694" w:dyaOrig="15716" w14:anchorId="0DF50C8D">
          <v:shape id="_x0000_i1028" type="#_x0000_t75" style="width:481.6pt;height:384.45pt" o:ole="">
            <v:imagedata r:id="rId20" o:title=""/>
          </v:shape>
          <o:OLEObject Type="Embed" ProgID="Visio.Drawing.11" ShapeID="_x0000_i1028" DrawAspect="Content" ObjectID="_1584556196" r:id="rId21"/>
        </w:object>
      </w:r>
    </w:p>
    <w:p w14:paraId="2A6716D3" w14:textId="097EBA6C" w:rsidR="00D81303" w:rsidRPr="00743D54" w:rsidRDefault="00D81303" w:rsidP="00CC124C">
      <w:pPr>
        <w:pStyle w:val="Caption"/>
        <w:jc w:val="center"/>
        <w:rPr>
          <w:lang w:eastAsia="x-none"/>
        </w:rPr>
      </w:pPr>
      <w:bookmarkStart w:id="234" w:name="_Ref506454442"/>
      <w:r w:rsidRPr="00743D54">
        <w:t xml:space="preserve">Figure </w:t>
      </w:r>
      <w:r w:rsidR="000E311C">
        <w:fldChar w:fldCharType="begin"/>
      </w:r>
      <w:r w:rsidR="000E311C">
        <w:instrText xml:space="preserve"> SEQ Figure \* ARABIC </w:instrText>
      </w:r>
      <w:r w:rsidR="000E311C">
        <w:fldChar w:fldCharType="separate"/>
      </w:r>
      <w:r w:rsidR="00ED5580">
        <w:rPr>
          <w:noProof/>
        </w:rPr>
        <w:t>3</w:t>
      </w:r>
      <w:r w:rsidR="000E311C">
        <w:rPr>
          <w:noProof/>
        </w:rPr>
        <w:fldChar w:fldCharType="end"/>
      </w:r>
      <w:bookmarkEnd w:id="234"/>
      <w:r w:rsidRPr="00743D54">
        <w:t xml:space="preserve"> Cross carrier </w:t>
      </w:r>
      <w:r w:rsidR="00400400">
        <w:t xml:space="preserve">DL </w:t>
      </w:r>
      <w:r w:rsidRPr="00743D54">
        <w:t xml:space="preserve">scheduling with </w:t>
      </w:r>
      <w:r w:rsidR="00400400">
        <w:t>or without slot aggregation</w:t>
      </w:r>
    </w:p>
    <w:p w14:paraId="475E3B4D" w14:textId="77777777" w:rsidR="00743D54" w:rsidRDefault="00743D54" w:rsidP="00387D4C">
      <w:pPr>
        <w:pStyle w:val="Caption"/>
      </w:pPr>
      <w:bookmarkStart w:id="235" w:name="_Toc506581795"/>
      <w:bookmarkStart w:id="236" w:name="_Toc506582122"/>
      <w:bookmarkStart w:id="237" w:name="_Toc506582144"/>
      <w:bookmarkStart w:id="238" w:name="_Toc510530208"/>
      <w:bookmarkStart w:id="239" w:name="_Toc510530381"/>
    </w:p>
    <w:p w14:paraId="4DBFDDF4" w14:textId="2E133FFA" w:rsidR="00387D4C" w:rsidRDefault="00387D4C" w:rsidP="00387D4C">
      <w:pPr>
        <w:pStyle w:val="Caption"/>
        <w:rPr>
          <w:b w:val="0"/>
          <w:lang w:eastAsia="x-none"/>
        </w:rPr>
      </w:pPr>
      <w:bookmarkStart w:id="240" w:name="_Toc510571494"/>
      <w:bookmarkStart w:id="241" w:name="_Toc510655948"/>
      <w:bookmarkStart w:id="242" w:name="_Toc510686228"/>
      <w:bookmarkStart w:id="243" w:name="_Toc510786127"/>
      <w:bookmarkStart w:id="244" w:name="_Toc510788221"/>
      <w:bookmarkStart w:id="245" w:name="_Toc510805191"/>
      <w:bookmarkStart w:id="246" w:name="_Toc510805347"/>
      <w:bookmarkStart w:id="247" w:name="_Toc510805586"/>
      <w:bookmarkStart w:id="248" w:name="_Toc510814019"/>
      <w:r>
        <w:t xml:space="preserve">Proposal </w:t>
      </w:r>
      <w:r w:rsidR="000E311C">
        <w:fldChar w:fldCharType="begin"/>
      </w:r>
      <w:r w:rsidR="000E311C">
        <w:instrText xml:space="preserve"> SEQ Proposal \* ARABIC </w:instrText>
      </w:r>
      <w:r w:rsidR="000E311C">
        <w:fldChar w:fldCharType="separate"/>
      </w:r>
      <w:r w:rsidR="00ED5580">
        <w:rPr>
          <w:noProof/>
        </w:rPr>
        <w:t>14</w:t>
      </w:r>
      <w:r w:rsidR="000E311C">
        <w:rPr>
          <w:noProof/>
        </w:rPr>
        <w:fldChar w:fldCharType="end"/>
      </w:r>
      <w:r>
        <w:t xml:space="preserve">: </w:t>
      </w:r>
      <w:r w:rsidRPr="00CC124C">
        <w:rPr>
          <w:lang w:eastAsia="x-none"/>
        </w:rPr>
        <w:t>For cross carrier scheduling with mixed numerology, a single DCI is used to schedule the transmission of the same TB across multiple slots in slot-aggregation. The K1 timing starts from the end of the last transmission in the aggregated transmissions.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558E6BFA" w14:textId="77777777" w:rsidR="002A42EB" w:rsidRDefault="002A42EB" w:rsidP="005A54DF"/>
    <w:p w14:paraId="49BEB4F2" w14:textId="58DCC4E1" w:rsidR="00743D54" w:rsidRDefault="00743D54" w:rsidP="005A54DF">
      <w:r>
        <w:t>When a carrier with smaller SCS schedul</w:t>
      </w:r>
      <w:r w:rsidR="003B1C34">
        <w:t>es</w:t>
      </w:r>
      <w:r>
        <w:t xml:space="preserve"> a carrier with larger SCS (Case 2 of </w:t>
      </w:r>
      <w:r>
        <w:fldChar w:fldCharType="begin"/>
      </w:r>
      <w:r>
        <w:instrText xml:space="preserve"> REF _Ref510535377 \h </w:instrText>
      </w:r>
      <w:r>
        <w:fldChar w:fldCharType="separate"/>
      </w:r>
      <w:r w:rsidR="00ED5580">
        <w:t xml:space="preserve">Figure </w:t>
      </w:r>
      <w:r w:rsidR="00ED5580">
        <w:rPr>
          <w:noProof/>
        </w:rPr>
        <w:t>2</w:t>
      </w:r>
      <w:r>
        <w:fldChar w:fldCharType="end"/>
      </w:r>
      <w:r>
        <w:t xml:space="preserve">), the DCI load on the carrier with smaller SCS can be higher than cross-carrier scheduling with same numerology. In an extreme case, if the scheduling carrier has 15kHz SCS, and the scheduled carrier has 120kHz SCS, </w:t>
      </w:r>
      <w:r w:rsidR="004115E3">
        <w:t>for</w:t>
      </w:r>
      <w:r>
        <w:t xml:space="preserve"> each slot of the scheduling carrier there could be </w:t>
      </w:r>
      <w:r w:rsidR="004115E3">
        <w:t xml:space="preserve">potentially </w:t>
      </w:r>
      <w:r>
        <w:t xml:space="preserve">up to 8 grants </w:t>
      </w:r>
      <w:r w:rsidR="004115E3">
        <w:t xml:space="preserve">for the scheduled carrier </w:t>
      </w:r>
      <w:r>
        <w:t xml:space="preserve">for the 8 slots which overlap with the slot on the scheduling carrier. </w:t>
      </w:r>
      <w:r w:rsidR="00FF7A04">
        <w:t>Support for such scenario</w:t>
      </w:r>
      <w:r w:rsidR="004115E3">
        <w:t xml:space="preserve"> would put a severe burden on UE implementation complexity, and we think this is against the original intention of the #78 plenary decision.</w:t>
      </w:r>
    </w:p>
    <w:p w14:paraId="2C0B525C" w14:textId="7857DE19" w:rsidR="003B1C34" w:rsidRDefault="003B1C34" w:rsidP="003B1C34">
      <w:pPr>
        <w:pStyle w:val="Caption"/>
      </w:pPr>
      <w:r>
        <w:t xml:space="preserve">Observation </w:t>
      </w:r>
      <w:r w:rsidR="000E311C">
        <w:fldChar w:fldCharType="begin"/>
      </w:r>
      <w:r w:rsidR="000E311C">
        <w:instrText xml:space="preserve"> SEQ Observation \* ARABIC </w:instrText>
      </w:r>
      <w:r w:rsidR="000E311C">
        <w:fldChar w:fldCharType="separate"/>
      </w:r>
      <w:r w:rsidR="00ED5580">
        <w:rPr>
          <w:noProof/>
        </w:rPr>
        <w:t>1</w:t>
      </w:r>
      <w:r w:rsidR="000E311C">
        <w:rPr>
          <w:noProof/>
        </w:rPr>
        <w:fldChar w:fldCharType="end"/>
      </w:r>
      <w:r>
        <w:t>: When a carrier with smaller SCS schedules a carrier with larger SCS, the DCI processing load on the scheduling carrier with smaller SCS can be higher than cross-carrier scheduling with same numerology.</w:t>
      </w:r>
    </w:p>
    <w:p w14:paraId="42EEAFE9" w14:textId="08447F0A" w:rsidR="003B1C34" w:rsidRDefault="004115E3" w:rsidP="005A54DF">
      <w:r>
        <w:t>Scheduling restrictions can be imposed to keep the implementation complexity at about the same level as cross-carrier scheduling with same numerology</w:t>
      </w:r>
      <w:r w:rsidR="003779AC">
        <w:t xml:space="preserve">. </w:t>
      </w:r>
      <w:r w:rsidR="00400400">
        <w:t xml:space="preserve">Using the example in Case 2 of </w:t>
      </w:r>
      <w:r w:rsidR="00400400">
        <w:fldChar w:fldCharType="begin"/>
      </w:r>
      <w:r w:rsidR="00400400">
        <w:instrText xml:space="preserve"> REF _Ref510535377 \h </w:instrText>
      </w:r>
      <w:r w:rsidR="00400400">
        <w:fldChar w:fldCharType="separate"/>
      </w:r>
      <w:r w:rsidR="00ED5580">
        <w:t xml:space="preserve">Figure </w:t>
      </w:r>
      <w:r w:rsidR="00ED5580">
        <w:rPr>
          <w:noProof/>
        </w:rPr>
        <w:t>2</w:t>
      </w:r>
      <w:r w:rsidR="00400400">
        <w:fldChar w:fldCharType="end"/>
      </w:r>
      <w:r w:rsidR="00400400">
        <w:t xml:space="preserve">, only one of DCI 2 and DCI 3 is allowed, but not both scheduled from Slot m; </w:t>
      </w:r>
      <w:r w:rsidR="007F55D1">
        <w:t>This implies only one of Slot 2n or Slot 2n+1 can be cross-carrier scheduled from Slot m.</w:t>
      </w:r>
    </w:p>
    <w:p w14:paraId="2874CF93" w14:textId="0A081633" w:rsidR="00602C49" w:rsidRDefault="00E335B1" w:rsidP="005A54DF">
      <w:r>
        <w:t xml:space="preserve">Maximum number of DCI </w:t>
      </w:r>
      <w:r w:rsidR="00733575">
        <w:t xml:space="preserve">supported </w:t>
      </w:r>
      <w:r>
        <w:t xml:space="preserve">per slot, and especially the aspect of how this number scales up for cross-carrier scheduling with same numerology is to be determined in DL control agenda item. </w:t>
      </w:r>
      <w:r w:rsidR="003B6359">
        <w:t>The following proposal can be made regarding the relative difference between cross-carrier scheduling for same or different numerology.</w:t>
      </w:r>
    </w:p>
    <w:p w14:paraId="3BF8BDA9" w14:textId="644286EB" w:rsidR="00B7160D" w:rsidRDefault="00B7160D" w:rsidP="00B7160D">
      <w:pPr>
        <w:pStyle w:val="Caption"/>
      </w:pPr>
      <w:bookmarkStart w:id="249" w:name="_Toc510571495"/>
      <w:bookmarkStart w:id="250" w:name="_Toc510655949"/>
      <w:bookmarkStart w:id="251" w:name="_Toc510686229"/>
      <w:bookmarkStart w:id="252" w:name="_Toc510786128"/>
      <w:bookmarkStart w:id="253" w:name="_Toc510788222"/>
      <w:bookmarkStart w:id="254" w:name="_Toc510805192"/>
      <w:bookmarkStart w:id="255" w:name="_Toc510805348"/>
      <w:bookmarkStart w:id="256" w:name="_Toc510805587"/>
      <w:bookmarkStart w:id="257" w:name="_Toc510814020"/>
      <w:r>
        <w:t xml:space="preserve">Proposal </w:t>
      </w:r>
      <w:r w:rsidR="000E311C">
        <w:fldChar w:fldCharType="begin"/>
      </w:r>
      <w:r w:rsidR="000E311C">
        <w:instrText xml:space="preserve"> SEQ Proposal \* ARABIC </w:instrText>
      </w:r>
      <w:r w:rsidR="000E311C">
        <w:fldChar w:fldCharType="separate"/>
      </w:r>
      <w:r w:rsidR="00ED5580">
        <w:rPr>
          <w:noProof/>
        </w:rPr>
        <w:t>15</w:t>
      </w:r>
      <w:r w:rsidR="000E311C">
        <w:rPr>
          <w:noProof/>
        </w:rPr>
        <w:fldChar w:fldCharType="end"/>
      </w:r>
      <w:r>
        <w:t xml:space="preserve">: For Rel-15, </w:t>
      </w:r>
      <w:r w:rsidR="007A1A41">
        <w:t xml:space="preserve">cross-carrier scheduling with mixed numerology </w:t>
      </w:r>
      <w:r w:rsidR="003B6359">
        <w:t xml:space="preserve">has the same limit on the number of </w:t>
      </w:r>
      <w:r w:rsidR="00733575">
        <w:t>DCI supported</w:t>
      </w:r>
      <w:r w:rsidR="003B6359">
        <w:t xml:space="preserve"> per slot </w:t>
      </w:r>
      <w:r w:rsidR="00B27202">
        <w:t xml:space="preserve">based on the numerology of the scheduling carrier </w:t>
      </w:r>
      <w:r w:rsidR="003B6359">
        <w:t xml:space="preserve">as compared to cross-carrier scheduling with </w:t>
      </w:r>
      <w:r w:rsidR="00B27202">
        <w:t xml:space="preserve">the </w:t>
      </w:r>
      <w:r w:rsidR="003B6359">
        <w:t>same numerology</w:t>
      </w:r>
      <w:bookmarkEnd w:id="249"/>
      <w:bookmarkEnd w:id="250"/>
      <w:r w:rsidR="00B27202">
        <w:t>.</w:t>
      </w:r>
      <w:bookmarkEnd w:id="251"/>
      <w:bookmarkEnd w:id="252"/>
      <w:bookmarkEnd w:id="253"/>
      <w:bookmarkEnd w:id="254"/>
      <w:bookmarkEnd w:id="255"/>
      <w:bookmarkEnd w:id="256"/>
      <w:bookmarkEnd w:id="257"/>
    </w:p>
    <w:p w14:paraId="04B2A5B1" w14:textId="30914D3C" w:rsidR="00400400" w:rsidRDefault="003B6359" w:rsidP="005A54DF">
      <w:r>
        <w:t xml:space="preserve">For the case of a carrier with smaller SCS scheduling a carrier with larger SCS, above proposal may require </w:t>
      </w:r>
      <w:r w:rsidR="007F55D1">
        <w:t xml:space="preserve">scheduling restriction </w:t>
      </w:r>
      <w:r>
        <w:t xml:space="preserve">such </w:t>
      </w:r>
      <w:r w:rsidR="007F55D1">
        <w:t xml:space="preserve">that not all of the slots on the carrier with larger SCS are schedulable from the carrier with smaller SCS. This drawback can be alleviated by using slot aggregation with single DCI for the same TB transmitted with RV sequencing. For this slot aggregation scheme, a single DCI can schedule multiple slots, as illustrated in </w:t>
      </w:r>
      <w:r w:rsidR="007F55D1">
        <w:fldChar w:fldCharType="begin"/>
      </w:r>
      <w:r w:rsidR="007F55D1">
        <w:instrText xml:space="preserve"> REF _Ref506454442 \h </w:instrText>
      </w:r>
      <w:r w:rsidR="007F55D1">
        <w:fldChar w:fldCharType="separate"/>
      </w:r>
      <w:r w:rsidR="00ED5580" w:rsidRPr="00743D54">
        <w:t xml:space="preserve">Figure </w:t>
      </w:r>
      <w:r w:rsidR="00ED5580">
        <w:rPr>
          <w:noProof/>
        </w:rPr>
        <w:t>3</w:t>
      </w:r>
      <w:r w:rsidR="007F55D1">
        <w:fldChar w:fldCharType="end"/>
      </w:r>
      <w:r w:rsidR="007F55D1">
        <w:t>(b), without i</w:t>
      </w:r>
      <w:r w:rsidR="00733575">
        <w:t>ncurring</w:t>
      </w:r>
      <w:r w:rsidR="007F55D1">
        <w:t xml:space="preserve"> any additional DCI load on the scheduling carrier with smaller SCS</w:t>
      </w:r>
      <w:r w:rsidR="00CF40F7">
        <w:t xml:space="preserve"> compared to cross-carrier scheduling with same numerology.</w:t>
      </w:r>
    </w:p>
    <w:p w14:paraId="05B955EC" w14:textId="77777777" w:rsidR="004D5C87" w:rsidRPr="00D81303" w:rsidRDefault="004D5C87" w:rsidP="005A54DF"/>
    <w:p w14:paraId="142D6EF1" w14:textId="77777777" w:rsidR="005A54DF" w:rsidRDefault="005A54DF" w:rsidP="00044EDB">
      <w:pPr>
        <w:pStyle w:val="Heading3"/>
      </w:pPr>
      <w:bookmarkStart w:id="258" w:name="_Ref503531383"/>
      <w:r>
        <w:t>HARQ feedback handling</w:t>
      </w:r>
      <w:bookmarkEnd w:id="258"/>
    </w:p>
    <w:p w14:paraId="2E05D903" w14:textId="0624DD89" w:rsidR="005A54DF" w:rsidRDefault="005A54DF" w:rsidP="005A54DF">
      <w:pPr>
        <w:rPr>
          <w:lang w:val="en-GB"/>
        </w:rPr>
      </w:pPr>
      <w:r>
        <w:rPr>
          <w:lang w:val="en-GB"/>
        </w:rPr>
        <w:t xml:space="preserve">Cross carrier </w:t>
      </w:r>
      <w:r w:rsidR="00525936">
        <w:rPr>
          <w:lang w:val="en-GB"/>
        </w:rPr>
        <w:t>HARQ-ACK</w:t>
      </w:r>
      <w:r>
        <w:rPr>
          <w:lang w:val="en-GB"/>
        </w:rPr>
        <w:t xml:space="preserve"> with mixed numerology was also agreed for NR. </w:t>
      </w:r>
      <w:r w:rsidR="00525936">
        <w:rPr>
          <w:lang w:val="en-GB"/>
        </w:rPr>
        <w:fldChar w:fldCharType="begin"/>
      </w:r>
      <w:r w:rsidR="00525936">
        <w:rPr>
          <w:lang w:val="en-GB"/>
        </w:rPr>
        <w:instrText xml:space="preserve"> REF _Ref510535693 \h </w:instrText>
      </w:r>
      <w:r w:rsidR="00525936">
        <w:rPr>
          <w:lang w:val="en-GB"/>
        </w:rPr>
      </w:r>
      <w:r w:rsidR="00525936">
        <w:rPr>
          <w:lang w:val="en-GB"/>
        </w:rPr>
        <w:fldChar w:fldCharType="separate"/>
      </w:r>
      <w:r w:rsidR="00ED5580">
        <w:t xml:space="preserve">Figure </w:t>
      </w:r>
      <w:r w:rsidR="00ED5580">
        <w:rPr>
          <w:noProof/>
        </w:rPr>
        <w:t>4</w:t>
      </w:r>
      <w:r w:rsidR="00525936">
        <w:rPr>
          <w:lang w:val="en-GB"/>
        </w:rPr>
        <w:fldChar w:fldCharType="end"/>
      </w:r>
      <w:r w:rsidR="00525936">
        <w:rPr>
          <w:lang w:val="en-GB"/>
        </w:rPr>
        <w:t xml:space="preserve"> </w:t>
      </w:r>
      <w:r>
        <w:rPr>
          <w:lang w:val="en-GB"/>
        </w:rPr>
        <w:t xml:space="preserve">shows two cases for cross carrier </w:t>
      </w:r>
      <w:r w:rsidR="00885D62">
        <w:rPr>
          <w:lang w:val="en-GB"/>
        </w:rPr>
        <w:t>HARQ-ACK feedback</w:t>
      </w:r>
      <w:r>
        <w:rPr>
          <w:lang w:val="en-GB"/>
        </w:rPr>
        <w:t xml:space="preserve"> with mixed numerology for DL scheduling. Case 1 is when A/N is transmitted on a carrier with smaller SCS. Case 2 is the other case. </w:t>
      </w:r>
    </w:p>
    <w:p w14:paraId="31630A2E" w14:textId="4FA3D1FA" w:rsidR="005A54DF" w:rsidRDefault="005A54DF" w:rsidP="005A54DF">
      <w:pPr>
        <w:rPr>
          <w:lang w:val="en-GB"/>
        </w:rPr>
      </w:pPr>
      <w:r>
        <w:rPr>
          <w:lang w:val="en-GB"/>
        </w:rPr>
        <w:t xml:space="preserve">For case 1, similar to data scheduling in subsection </w:t>
      </w:r>
      <w:r w:rsidR="00885D62">
        <w:rPr>
          <w:lang w:val="en-GB"/>
        </w:rPr>
        <w:fldChar w:fldCharType="begin"/>
      </w:r>
      <w:r w:rsidR="00885D62">
        <w:rPr>
          <w:lang w:val="en-GB"/>
        </w:rPr>
        <w:instrText xml:space="preserve"> REF _Ref510563683 \r \h </w:instrText>
      </w:r>
      <w:r w:rsidR="00885D62">
        <w:rPr>
          <w:lang w:val="en-GB"/>
        </w:rPr>
      </w:r>
      <w:r w:rsidR="00885D62">
        <w:rPr>
          <w:lang w:val="en-GB"/>
        </w:rPr>
        <w:fldChar w:fldCharType="separate"/>
      </w:r>
      <w:r w:rsidR="00ED5580">
        <w:rPr>
          <w:lang w:val="en-GB"/>
        </w:rPr>
        <w:t>2.2.1</w:t>
      </w:r>
      <w:r w:rsidR="00885D62">
        <w:rPr>
          <w:lang w:val="en-GB"/>
        </w:rPr>
        <w:fldChar w:fldCharType="end"/>
      </w:r>
      <w:r>
        <w:rPr>
          <w:lang w:val="en-GB"/>
        </w:rPr>
        <w:t>, the following proposals are made.</w:t>
      </w:r>
    </w:p>
    <w:p w14:paraId="1E6D30A8" w14:textId="0FEE3F2B" w:rsidR="00387D4C" w:rsidRDefault="00387D4C" w:rsidP="00387D4C">
      <w:pPr>
        <w:pStyle w:val="Caption"/>
        <w:rPr>
          <w:lang w:val="en-GB"/>
        </w:rPr>
      </w:pPr>
      <w:bookmarkStart w:id="259" w:name="_Toc506581796"/>
      <w:bookmarkStart w:id="260" w:name="_Toc506582123"/>
      <w:bookmarkStart w:id="261" w:name="_Toc506582145"/>
      <w:bookmarkStart w:id="262" w:name="_Toc510530209"/>
      <w:bookmarkStart w:id="263" w:name="_Toc510530382"/>
      <w:bookmarkStart w:id="264" w:name="_Toc510571497"/>
      <w:bookmarkStart w:id="265" w:name="_Toc510655950"/>
      <w:bookmarkStart w:id="266" w:name="_Toc510686230"/>
      <w:bookmarkStart w:id="267" w:name="_Toc510786129"/>
      <w:bookmarkStart w:id="268" w:name="_Toc510788223"/>
      <w:bookmarkStart w:id="269" w:name="_Toc510805193"/>
      <w:bookmarkStart w:id="270" w:name="_Toc510805349"/>
      <w:bookmarkStart w:id="271" w:name="_Toc510805588"/>
      <w:bookmarkStart w:id="272" w:name="_Toc510814021"/>
      <w:r>
        <w:t xml:space="preserve">Proposal </w:t>
      </w:r>
      <w:r w:rsidR="000E311C">
        <w:fldChar w:fldCharType="begin"/>
      </w:r>
      <w:r w:rsidR="000E311C">
        <w:instrText xml:space="preserve"> SEQ Proposal \* ARABIC </w:instrText>
      </w:r>
      <w:r w:rsidR="000E311C">
        <w:fldChar w:fldCharType="separate"/>
      </w:r>
      <w:r w:rsidR="00ED5580">
        <w:rPr>
          <w:noProof/>
        </w:rPr>
        <w:t>16</w:t>
      </w:r>
      <w:r w:rsidR="000E311C">
        <w:rPr>
          <w:noProof/>
        </w:rPr>
        <w:fldChar w:fldCharType="end"/>
      </w:r>
      <w:r>
        <w:t>:</w:t>
      </w:r>
      <w:r w:rsidRPr="00387D4C">
        <w:t xml:space="preserve"> </w:t>
      </w:r>
      <w:r w:rsidRPr="0053268B">
        <w:t>When A/N is transmitted on a carrier with a smaller SCS, the overlapping slot is considered as K1=0.</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3617C767" w14:textId="2AF7FB54" w:rsidR="005A54DF" w:rsidRDefault="005A54DF" w:rsidP="005A54DF">
      <w:pPr>
        <w:rPr>
          <w:lang w:val="en-GB"/>
        </w:rPr>
      </w:pPr>
      <w:r>
        <w:rPr>
          <w:lang w:val="en-GB"/>
        </w:rPr>
        <w:t>For case 2, K1 definition needs some clarification. The following is proposed.</w:t>
      </w:r>
    </w:p>
    <w:p w14:paraId="067182A9" w14:textId="335AFAA7" w:rsidR="00387D4C" w:rsidRDefault="00387D4C" w:rsidP="00387D4C">
      <w:pPr>
        <w:pStyle w:val="Caption"/>
        <w:rPr>
          <w:lang w:val="en-GB"/>
        </w:rPr>
      </w:pPr>
      <w:bookmarkStart w:id="273" w:name="_Toc506581797"/>
      <w:bookmarkStart w:id="274" w:name="_Toc506582124"/>
      <w:bookmarkStart w:id="275" w:name="_Toc506582146"/>
      <w:bookmarkStart w:id="276" w:name="_Toc510530210"/>
      <w:bookmarkStart w:id="277" w:name="_Toc510530383"/>
      <w:bookmarkStart w:id="278" w:name="_Toc510571498"/>
      <w:bookmarkStart w:id="279" w:name="_Toc510655951"/>
      <w:bookmarkStart w:id="280" w:name="_Toc510686231"/>
      <w:bookmarkStart w:id="281" w:name="_Toc510786130"/>
      <w:bookmarkStart w:id="282" w:name="_Toc510788224"/>
      <w:bookmarkStart w:id="283" w:name="_Toc510805194"/>
      <w:bookmarkStart w:id="284" w:name="_Toc510805350"/>
      <w:bookmarkStart w:id="285" w:name="_Toc510805589"/>
      <w:bookmarkStart w:id="286" w:name="_Toc510814022"/>
      <w:r>
        <w:t xml:space="preserve">Proposal </w:t>
      </w:r>
      <w:r w:rsidR="000E311C">
        <w:fldChar w:fldCharType="begin"/>
      </w:r>
      <w:r w:rsidR="000E311C">
        <w:instrText xml:space="preserve"> SEQ Proposal \* ARABIC </w:instrText>
      </w:r>
      <w:r w:rsidR="000E311C">
        <w:fldChar w:fldCharType="separate"/>
      </w:r>
      <w:r w:rsidR="00ED5580">
        <w:rPr>
          <w:noProof/>
        </w:rPr>
        <w:t>17</w:t>
      </w:r>
      <w:r w:rsidR="000E311C">
        <w:rPr>
          <w:noProof/>
        </w:rPr>
        <w:fldChar w:fldCharType="end"/>
      </w:r>
      <w:r>
        <w:t>:</w:t>
      </w:r>
      <w:r w:rsidRPr="00387D4C">
        <w:t xml:space="preserve"> </w:t>
      </w:r>
      <w:r w:rsidRPr="0053268B">
        <w:t>When A/N is transmitted on a carrier with a larger SCS, K1=0 is defined for the slot whose ending slot boundary is aligned with that of the slot containing PDSCH.</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247F1408" w14:textId="77777777" w:rsidR="005A54DF" w:rsidRDefault="005A54DF" w:rsidP="005A54DF">
      <w:pPr>
        <w:rPr>
          <w:lang w:val="en-GB"/>
        </w:rPr>
      </w:pPr>
      <w:r>
        <w:rPr>
          <w:lang w:val="en-GB"/>
        </w:rPr>
        <w:t>In other words, slot 2n+1 becomes K1=0. Slot 2n+2 is K1=1, 2n+3 is K1=2 and so on.</w:t>
      </w:r>
    </w:p>
    <w:p w14:paraId="3A304D00" w14:textId="77777777" w:rsidR="005A54DF" w:rsidRDefault="005A54DF" w:rsidP="005A54DF">
      <w:pPr>
        <w:rPr>
          <w:lang w:val="en-GB"/>
        </w:rPr>
      </w:pPr>
    </w:p>
    <w:p w14:paraId="6A06C786" w14:textId="77777777" w:rsidR="005A54DF" w:rsidRDefault="005A54DF" w:rsidP="005A54DF">
      <w:pPr>
        <w:keepNext/>
        <w:jc w:val="center"/>
        <w:rPr>
          <w:lang w:val="en-GB"/>
        </w:rPr>
      </w:pPr>
      <w:r w:rsidRPr="000372BF">
        <w:object w:dxaOrig="9608" w:dyaOrig="1682" w14:anchorId="5B76384A">
          <v:shape id="_x0000_i1029" type="#_x0000_t75" style="width:480.9pt;height:84.25pt" o:ole="">
            <v:imagedata r:id="rId22" o:title=""/>
          </v:shape>
          <o:OLEObject Type="Embed" ProgID="Visio.Drawing.11" ShapeID="_x0000_i1029" DrawAspect="Content" ObjectID="_1584556197" r:id="rId23"/>
        </w:object>
      </w:r>
    </w:p>
    <w:p w14:paraId="2121474F" w14:textId="77777777" w:rsidR="005A54DF" w:rsidRDefault="005A54DF" w:rsidP="005A54DF">
      <w:pPr>
        <w:keepNext/>
        <w:jc w:val="center"/>
      </w:pPr>
      <w:r>
        <w:t>(a) Case 1: A/N transmitted on a carrier with smaller SCS</w:t>
      </w:r>
    </w:p>
    <w:p w14:paraId="14B95D32" w14:textId="77777777" w:rsidR="005A54DF" w:rsidRDefault="005A54DF" w:rsidP="005A54DF">
      <w:pPr>
        <w:jc w:val="center"/>
        <w:rPr>
          <w:lang w:val="en-GB"/>
        </w:rPr>
      </w:pPr>
      <w:r w:rsidRPr="007D73C2">
        <w:object w:dxaOrig="16502" w:dyaOrig="4341" w14:anchorId="615A560F">
          <v:shape id="_x0000_i1030" type="#_x0000_t75" style="width:481.6pt;height:127.7pt" o:ole="">
            <v:imagedata r:id="rId24" o:title=""/>
          </v:shape>
          <o:OLEObject Type="Embed" ProgID="Visio.Drawing.11" ShapeID="_x0000_i1030" DrawAspect="Content" ObjectID="_1584556198" r:id="rId25"/>
        </w:object>
      </w:r>
    </w:p>
    <w:p w14:paraId="2639032F" w14:textId="77777777" w:rsidR="005A54DF" w:rsidRDefault="005A54DF" w:rsidP="005A54DF">
      <w:pPr>
        <w:jc w:val="center"/>
        <w:rPr>
          <w:lang w:val="en-GB"/>
        </w:rPr>
      </w:pPr>
      <w:r>
        <w:rPr>
          <w:lang w:val="en-GB"/>
        </w:rPr>
        <w:t>(b) Case 2: A/N transmitted on a carrier with larger SCS</w:t>
      </w:r>
    </w:p>
    <w:p w14:paraId="743BE881" w14:textId="3E3DE418" w:rsidR="005A54DF" w:rsidRDefault="005A54DF" w:rsidP="005A54DF">
      <w:pPr>
        <w:pStyle w:val="Caption"/>
        <w:jc w:val="center"/>
      </w:pPr>
      <w:bookmarkStart w:id="287" w:name="_Ref510535693"/>
      <w:r>
        <w:t xml:space="preserve">Figure </w:t>
      </w:r>
      <w:r w:rsidR="000E311C">
        <w:fldChar w:fldCharType="begin"/>
      </w:r>
      <w:r w:rsidR="000E311C">
        <w:instrText xml:space="preserve"> SEQ Figure \* ARABIC </w:instrText>
      </w:r>
      <w:r w:rsidR="000E311C">
        <w:fldChar w:fldCharType="separate"/>
      </w:r>
      <w:r w:rsidR="00ED5580">
        <w:rPr>
          <w:noProof/>
        </w:rPr>
        <w:t>4</w:t>
      </w:r>
      <w:r w:rsidR="000E311C">
        <w:rPr>
          <w:noProof/>
        </w:rPr>
        <w:fldChar w:fldCharType="end"/>
      </w:r>
      <w:bookmarkEnd w:id="287"/>
      <w:r>
        <w:t>: Cross carrier ACK transmission with mixed numerology</w:t>
      </w:r>
    </w:p>
    <w:p w14:paraId="5CD03384" w14:textId="77777777" w:rsidR="000F5C75" w:rsidRDefault="000F5C75" w:rsidP="005A54DF"/>
    <w:p w14:paraId="3953932D" w14:textId="66E9E6B8" w:rsidR="005A54DF" w:rsidRDefault="000F5C75" w:rsidP="005A54DF">
      <w:r>
        <w:t xml:space="preserve">With regards to HARQ-ACK feedback </w:t>
      </w:r>
      <w:r w:rsidR="00663A5B">
        <w:t>multiplexing</w:t>
      </w:r>
      <w:r>
        <w:t xml:space="preserve">, there are two approaches to codebook construction: Semi-static codebook, or dynamic codebook. </w:t>
      </w:r>
      <w:r w:rsidR="00483F8D">
        <w:t>F</w:t>
      </w:r>
      <w:r>
        <w:t xml:space="preserve">or dynamic HARQ-ACK codebook, </w:t>
      </w:r>
      <w:r w:rsidR="00663A5B">
        <w:t xml:space="preserve">downlink assignment index (DAI) is an effective technique and </w:t>
      </w:r>
      <w:r>
        <w:t>it is worth pointing out that there are at least two ways to accumulate the DAI counter:</w:t>
      </w:r>
    </w:p>
    <w:p w14:paraId="4F921791" w14:textId="25F7ACD9" w:rsidR="000F5C75" w:rsidRDefault="000F5C75" w:rsidP="00FA680F">
      <w:pPr>
        <w:ind w:left="720" w:hanging="360"/>
      </w:pPr>
      <w:r>
        <w:t>Alt 1: Block-wise time-first, frequency-second</w:t>
      </w:r>
    </w:p>
    <w:p w14:paraId="5985F211" w14:textId="6216DACE" w:rsidR="000F5C75" w:rsidRDefault="000F5C75" w:rsidP="00FA680F">
      <w:pPr>
        <w:ind w:left="360"/>
      </w:pPr>
      <w:r>
        <w:t>Alt 2: Block-wise frequency-first, time-second</w:t>
      </w:r>
    </w:p>
    <w:p w14:paraId="13D7E2C3" w14:textId="5539520B" w:rsidR="000F5C75" w:rsidRDefault="000F5C75" w:rsidP="000F5C75">
      <w:r>
        <w:t>“Block-wise” refers to a given slot duration. Examples are illustrated below, with the assumption that all slots have PDSCH scheduled.</w:t>
      </w:r>
    </w:p>
    <w:p w14:paraId="1EE465D4" w14:textId="7EE7A7A2" w:rsidR="000F5C75" w:rsidRDefault="000F5C75">
      <w:r w:rsidRPr="000F5C75">
        <w:rPr>
          <w:noProof/>
        </w:rPr>
        <w:drawing>
          <wp:inline distT="0" distB="0" distL="0" distR="0" wp14:anchorId="1816F534" wp14:editId="64D7DDA0">
            <wp:extent cx="2898648" cy="1289304"/>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98648" cy="1289304"/>
                    </a:xfrm>
                    <a:prstGeom prst="rect">
                      <a:avLst/>
                    </a:prstGeom>
                  </pic:spPr>
                </pic:pic>
              </a:graphicData>
            </a:graphic>
          </wp:inline>
        </w:drawing>
      </w:r>
      <w:r w:rsidRPr="000F5C75">
        <w:rPr>
          <w:noProof/>
        </w:rPr>
        <w:drawing>
          <wp:inline distT="0" distB="0" distL="0" distR="0" wp14:anchorId="0D25F8E5" wp14:editId="4661B802">
            <wp:extent cx="2898648" cy="1289304"/>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98648" cy="1289304"/>
                    </a:xfrm>
                    <a:prstGeom prst="rect">
                      <a:avLst/>
                    </a:prstGeom>
                  </pic:spPr>
                </pic:pic>
              </a:graphicData>
            </a:graphic>
          </wp:inline>
        </w:drawing>
      </w:r>
    </w:p>
    <w:p w14:paraId="4547E31F" w14:textId="0F877D1C" w:rsidR="000F5C75" w:rsidRDefault="000F5C75" w:rsidP="00FA680F">
      <w:pPr>
        <w:pStyle w:val="Caption"/>
        <w:jc w:val="center"/>
      </w:pPr>
      <w:r>
        <w:t xml:space="preserve">Figure </w:t>
      </w:r>
      <w:r w:rsidR="000E311C">
        <w:fldChar w:fldCharType="begin"/>
      </w:r>
      <w:r w:rsidR="000E311C">
        <w:instrText xml:space="preserve"> SEQ Figure \* ARABIC </w:instrText>
      </w:r>
      <w:r w:rsidR="000E311C">
        <w:fldChar w:fldCharType="separate"/>
      </w:r>
      <w:r w:rsidR="00ED5580">
        <w:rPr>
          <w:noProof/>
        </w:rPr>
        <w:t>5</w:t>
      </w:r>
      <w:r w:rsidR="000E311C">
        <w:rPr>
          <w:noProof/>
        </w:rPr>
        <w:fldChar w:fldCharType="end"/>
      </w:r>
      <w:r>
        <w:t xml:space="preserve">: DAI </w:t>
      </w:r>
      <w:r w:rsidR="00663A5B">
        <w:t xml:space="preserve">counter </w:t>
      </w:r>
      <w:r>
        <w:t>accumulation order for CA with mixed numerology</w:t>
      </w:r>
    </w:p>
    <w:p w14:paraId="2DB46147" w14:textId="762AC2C9" w:rsidR="000F5C75" w:rsidRDefault="000F5C75" w:rsidP="005A54DF">
      <w:r>
        <w:t>Alt 2 is preferable since the gNB does not have to predict where slot 2n+1 is to be scheduled or not when it is scheduling slot 2n and slot m.</w:t>
      </w:r>
    </w:p>
    <w:p w14:paraId="617F82AB" w14:textId="7606FC58" w:rsidR="00387D4C" w:rsidRDefault="00387D4C" w:rsidP="00387D4C">
      <w:pPr>
        <w:pStyle w:val="Caption"/>
      </w:pPr>
      <w:bookmarkStart w:id="288" w:name="_Toc506581798"/>
      <w:bookmarkStart w:id="289" w:name="_Toc506582125"/>
      <w:bookmarkStart w:id="290" w:name="_Toc506582147"/>
      <w:bookmarkStart w:id="291" w:name="_Toc510530211"/>
      <w:bookmarkStart w:id="292" w:name="_Toc510530384"/>
      <w:bookmarkStart w:id="293" w:name="_Toc510571499"/>
      <w:bookmarkStart w:id="294" w:name="_Toc510655952"/>
      <w:bookmarkStart w:id="295" w:name="_Toc510686232"/>
      <w:bookmarkStart w:id="296" w:name="_Toc510786131"/>
      <w:bookmarkStart w:id="297" w:name="_Toc510788225"/>
      <w:bookmarkStart w:id="298" w:name="_Toc510805195"/>
      <w:bookmarkStart w:id="299" w:name="_Toc510805351"/>
      <w:bookmarkStart w:id="300" w:name="_Toc510805590"/>
      <w:bookmarkStart w:id="301" w:name="_Toc510814023"/>
      <w:r>
        <w:t xml:space="preserve">Proposal </w:t>
      </w:r>
      <w:r w:rsidR="000E311C">
        <w:fldChar w:fldCharType="begin"/>
      </w:r>
      <w:r w:rsidR="000E311C">
        <w:instrText xml:space="preserve"> SEQ Proposal \* ARABIC </w:instrText>
      </w:r>
      <w:r w:rsidR="000E311C">
        <w:fldChar w:fldCharType="separate"/>
      </w:r>
      <w:r w:rsidR="00ED5580">
        <w:rPr>
          <w:noProof/>
        </w:rPr>
        <w:t>18</w:t>
      </w:r>
      <w:r w:rsidR="000E311C">
        <w:rPr>
          <w:noProof/>
        </w:rPr>
        <w:fldChar w:fldCharType="end"/>
      </w:r>
      <w:r>
        <w:t>: Frequency-first, time-second DAI counter accumulation order is preferred for dynamic HARQ-ACK codebook.</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4BA830E0" w14:textId="77777777" w:rsidR="00026E4C" w:rsidRPr="005C2F71" w:rsidRDefault="00026E4C" w:rsidP="005C2F71">
      <w:pPr>
        <w:rPr>
          <w:lang w:val="en-GB"/>
        </w:rPr>
      </w:pPr>
    </w:p>
    <w:p w14:paraId="12FEB97A" w14:textId="6FC21382" w:rsidR="00FF75D0" w:rsidRDefault="00387D4C" w:rsidP="00044EDB">
      <w:pPr>
        <w:pStyle w:val="Heading2"/>
      </w:pPr>
      <w:bookmarkStart w:id="302" w:name="_Ref510803949"/>
      <w:r>
        <w:t>SCell Power Saving</w:t>
      </w:r>
      <w:bookmarkEnd w:id="302"/>
    </w:p>
    <w:p w14:paraId="3701859E" w14:textId="6C1774CF" w:rsidR="00387D4C" w:rsidRDefault="00387D4C" w:rsidP="00387D4C">
      <w:pPr>
        <w:rPr>
          <w:lang w:val="en-GB"/>
        </w:rPr>
      </w:pPr>
      <w:r w:rsidRPr="00387D4C">
        <w:rPr>
          <w:lang w:val="en-GB"/>
        </w:rPr>
        <w:t>LTE has recently introduced a new SCell state [1], distinct from activated and deactivated state. This new state allows periodic CSI of the SCell to be measured and reported, but otherwise is similar to legacy deactivated state and no data transactions are allowed and PDCCH is not monitored. The advantage is that the latency of transition into active state from this new state is reduced significantly compared to transition from deactivated state and the UE power consumption in the new state is much lower than that in active state and slightly higher than that in deactivated state. The fast state transition from low power new state to high power active state results in reduced overall UE power consumption for most traffic patterns.</w:t>
      </w:r>
    </w:p>
    <w:p w14:paraId="5AE911CC" w14:textId="2163A3D6" w:rsidR="00387D4C" w:rsidRDefault="00387D4C" w:rsidP="00387D4C">
      <w:pPr>
        <w:rPr>
          <w:lang w:val="en-GB"/>
        </w:rPr>
      </w:pPr>
      <w:r>
        <w:rPr>
          <w:lang w:val="en-GB"/>
        </w:rPr>
        <w:t xml:space="preserve">Similar discussion </w:t>
      </w:r>
      <w:r w:rsidR="000B2250">
        <w:rPr>
          <w:lang w:val="en-GB"/>
        </w:rPr>
        <w:t xml:space="preserve">should happen </w:t>
      </w:r>
      <w:r>
        <w:rPr>
          <w:lang w:val="en-GB"/>
        </w:rPr>
        <w:t>in the context of NR for SCell power saving. As discussed in several prior contributions</w:t>
      </w:r>
      <w:r w:rsidR="00BC625F">
        <w:rPr>
          <w:lang w:val="en-GB"/>
        </w:rPr>
        <w:t xml:space="preserve"> </w:t>
      </w:r>
      <w:r w:rsidR="00BC625F">
        <w:rPr>
          <w:lang w:val="en-GB"/>
        </w:rPr>
        <w:fldChar w:fldCharType="begin"/>
      </w:r>
      <w:r w:rsidR="00BC625F">
        <w:rPr>
          <w:lang w:val="en-GB"/>
        </w:rPr>
        <w:instrText xml:space="preserve"> REF _Ref506580308 \r \h </w:instrText>
      </w:r>
      <w:r w:rsidR="00BC625F">
        <w:rPr>
          <w:lang w:val="en-GB"/>
        </w:rPr>
      </w:r>
      <w:r w:rsidR="00BC625F">
        <w:rPr>
          <w:lang w:val="en-GB"/>
        </w:rPr>
        <w:fldChar w:fldCharType="separate"/>
      </w:r>
      <w:r w:rsidR="00ED5580">
        <w:rPr>
          <w:lang w:val="en-GB"/>
        </w:rPr>
        <w:t>[2]</w:t>
      </w:r>
      <w:r w:rsidR="00BC625F">
        <w:rPr>
          <w:lang w:val="en-GB"/>
        </w:rPr>
        <w:fldChar w:fldCharType="end"/>
      </w:r>
      <w:r w:rsidR="00BC625F">
        <w:rPr>
          <w:lang w:val="en-GB"/>
        </w:rPr>
        <w:fldChar w:fldCharType="begin"/>
      </w:r>
      <w:r w:rsidR="00BC625F">
        <w:rPr>
          <w:lang w:val="en-GB"/>
        </w:rPr>
        <w:instrText xml:space="preserve"> REF _Ref506580309 \r \h </w:instrText>
      </w:r>
      <w:r w:rsidR="00BC625F">
        <w:rPr>
          <w:lang w:val="en-GB"/>
        </w:rPr>
      </w:r>
      <w:r w:rsidR="00BC625F">
        <w:rPr>
          <w:lang w:val="en-GB"/>
        </w:rPr>
        <w:fldChar w:fldCharType="separate"/>
      </w:r>
      <w:r w:rsidR="00ED5580">
        <w:rPr>
          <w:lang w:val="en-GB"/>
        </w:rPr>
        <w:t>[3]</w:t>
      </w:r>
      <w:r w:rsidR="00BC625F">
        <w:rPr>
          <w:lang w:val="en-GB"/>
        </w:rPr>
        <w:fldChar w:fldCharType="end"/>
      </w:r>
      <w:r>
        <w:rPr>
          <w:lang w:val="en-GB"/>
        </w:rPr>
        <w:t>, current UE power saving mechanism based on BWP adaptation is effective for single wideband carrier operation, but not very effective for multiple carriers</w:t>
      </w:r>
      <w:r w:rsidR="00BC625F">
        <w:rPr>
          <w:lang w:val="en-GB"/>
        </w:rPr>
        <w:t xml:space="preserve">. Instead, being able to put SCell into power saving state and bringing it back briskly </w:t>
      </w:r>
      <w:r>
        <w:rPr>
          <w:lang w:val="en-GB"/>
        </w:rPr>
        <w:t xml:space="preserve">would be more effective. </w:t>
      </w:r>
      <w:r w:rsidR="00BC625F">
        <w:rPr>
          <w:lang w:val="en-GB"/>
        </w:rPr>
        <w:t>The fact that LTE has introduced such a new feature is a testimony that the concepts earlier proposed in NR is in the right direction.</w:t>
      </w:r>
    </w:p>
    <w:p w14:paraId="55131ACC" w14:textId="04C0EFA8" w:rsidR="00213342" w:rsidRDefault="00BC625F" w:rsidP="00387D4C">
      <w:pPr>
        <w:rPr>
          <w:lang w:val="en-GB"/>
        </w:rPr>
      </w:pPr>
      <w:r>
        <w:rPr>
          <w:lang w:val="en-GB"/>
        </w:rPr>
        <w:t xml:space="preserve">It has been proposed in RAN2 </w:t>
      </w:r>
      <w:r w:rsidR="00213342">
        <w:rPr>
          <w:lang w:val="en-GB"/>
        </w:rPr>
        <w:fldChar w:fldCharType="begin"/>
      </w:r>
      <w:r w:rsidR="00213342">
        <w:rPr>
          <w:lang w:val="en-GB"/>
        </w:rPr>
        <w:instrText xml:space="preserve"> REF _Ref506580882 \r \h </w:instrText>
      </w:r>
      <w:r w:rsidR="00213342">
        <w:rPr>
          <w:lang w:val="en-GB"/>
        </w:rPr>
      </w:r>
      <w:r w:rsidR="00213342">
        <w:rPr>
          <w:lang w:val="en-GB"/>
        </w:rPr>
        <w:fldChar w:fldCharType="separate"/>
      </w:r>
      <w:r w:rsidR="00ED5580">
        <w:rPr>
          <w:lang w:val="en-GB"/>
        </w:rPr>
        <w:t>[4]</w:t>
      </w:r>
      <w:r w:rsidR="00213342">
        <w:rPr>
          <w:lang w:val="en-GB"/>
        </w:rPr>
        <w:fldChar w:fldCharType="end"/>
      </w:r>
      <w:r w:rsidR="00213342">
        <w:rPr>
          <w:lang w:val="en-GB"/>
        </w:rPr>
        <w:t xml:space="preserve"> </w:t>
      </w:r>
      <w:r>
        <w:rPr>
          <w:lang w:val="en-GB"/>
        </w:rPr>
        <w:t xml:space="preserve">that the BWP framework can be leveraged to implement an analogous version of LTE new SCell state for NR. New SCell state can </w:t>
      </w:r>
      <w:r w:rsidR="00213342">
        <w:rPr>
          <w:lang w:val="en-GB"/>
        </w:rPr>
        <w:t xml:space="preserve">correspond to a designated BWP with special attributes supporting low power operation. Such BWP can be called “dormant BWP” </w:t>
      </w:r>
      <w:r w:rsidR="00213342">
        <w:t xml:space="preserve">where no uplink or downlink grant is allowed, but periodic CSI reporting can continue. </w:t>
      </w:r>
      <w:r w:rsidR="00213342">
        <w:rPr>
          <w:lang w:val="en-GB"/>
        </w:rPr>
        <w:t>Signaling details, including the configuration, activation and deactivation of dormant BWP, can be discussed later after the general direction and approach is agreed as the way to support SCell power saving in NR.</w:t>
      </w:r>
    </w:p>
    <w:p w14:paraId="069D1937" w14:textId="6194F717" w:rsidR="00F10EB6" w:rsidRDefault="00213342" w:rsidP="00387D4C">
      <w:r>
        <w:t xml:space="preserve">SCell power consumption </w:t>
      </w:r>
      <w:r w:rsidR="00894F78">
        <w:t xml:space="preserve">for the UE </w:t>
      </w:r>
      <w:r>
        <w:t xml:space="preserve">is a critical issue in NR </w:t>
      </w:r>
      <w:r w:rsidR="00F10EB6">
        <w:t xml:space="preserve">especially for mmW deployment. Peak active use case aside, power consumption level can be very high even for PDCCH monitoring scenario. Enhanced microsleep with cross-slot scheduling alleviates the issue </w:t>
      </w:r>
      <w:r w:rsidR="000B59AA">
        <w:t>to some extent</w:t>
      </w:r>
      <w:r w:rsidR="00F10EB6">
        <w:t xml:space="preserve"> but the next step is to further tackle the duty cycle aspect by being able to quickly put SCell into low power / deactivated state when it is not needed.</w:t>
      </w:r>
    </w:p>
    <w:p w14:paraId="05DB67F3" w14:textId="399D714E" w:rsidR="00F10EB6" w:rsidRPr="00213342" w:rsidRDefault="00F10EB6" w:rsidP="00F10EB6">
      <w:pPr>
        <w:pStyle w:val="Caption"/>
      </w:pPr>
      <w:bookmarkStart w:id="303" w:name="_Toc506581802"/>
      <w:bookmarkStart w:id="304" w:name="_Toc506582129"/>
      <w:bookmarkStart w:id="305" w:name="_Toc506582151"/>
      <w:bookmarkStart w:id="306" w:name="_Toc510530214"/>
      <w:bookmarkStart w:id="307" w:name="_Toc510530386"/>
      <w:bookmarkStart w:id="308" w:name="_Toc510571501"/>
      <w:bookmarkStart w:id="309" w:name="_Toc510655954"/>
      <w:bookmarkStart w:id="310" w:name="_Toc510686234"/>
      <w:bookmarkStart w:id="311" w:name="_Toc510786133"/>
      <w:bookmarkStart w:id="312" w:name="_Toc510788227"/>
      <w:bookmarkStart w:id="313" w:name="_Toc510805197"/>
      <w:bookmarkStart w:id="314" w:name="_Toc510805353"/>
      <w:bookmarkStart w:id="315" w:name="_Toc510805591"/>
      <w:bookmarkStart w:id="316" w:name="_Toc510814024"/>
      <w:r>
        <w:t xml:space="preserve">Proposal </w:t>
      </w:r>
      <w:r w:rsidR="000E311C">
        <w:fldChar w:fldCharType="begin"/>
      </w:r>
      <w:r w:rsidR="000E311C">
        <w:instrText xml:space="preserve"> SEQ Proposal \* ARABIC </w:instrText>
      </w:r>
      <w:r w:rsidR="000E311C">
        <w:fldChar w:fldCharType="separate"/>
      </w:r>
      <w:r w:rsidR="00ED5580">
        <w:rPr>
          <w:noProof/>
        </w:rPr>
        <w:t>19</w:t>
      </w:r>
      <w:r w:rsidR="000E311C">
        <w:rPr>
          <w:noProof/>
        </w:rPr>
        <w:fldChar w:fldCharType="end"/>
      </w:r>
      <w:r>
        <w:t xml:space="preserve">: Resume discussion on SCell </w:t>
      </w:r>
      <w:r w:rsidR="001B08BE">
        <w:t xml:space="preserve">low-power / deactivated state and relation to BWP </w:t>
      </w:r>
      <w:r>
        <w:t>in RAN1 in light of recent introduction of LTE new SCell state for power saving, and corresponding discussions in RAN2 for NR</w:t>
      </w:r>
      <w:bookmarkEnd w:id="303"/>
      <w:r w:rsidR="001B08BE">
        <w:t xml:space="preserve"> and RAN4 update on SCell activation /deactivation timeline for NR.</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4B3AEF99" w14:textId="77777777" w:rsidR="00387D4C" w:rsidRPr="00387D4C" w:rsidRDefault="00387D4C" w:rsidP="00387D4C">
      <w:pPr>
        <w:rPr>
          <w:lang w:val="en-GB"/>
        </w:rPr>
      </w:pPr>
    </w:p>
    <w:p w14:paraId="16CFBAF1" w14:textId="64614D05" w:rsidR="00E4038C" w:rsidRDefault="00E4038C" w:rsidP="00387D4C">
      <w:pPr>
        <w:pStyle w:val="Heading1"/>
        <w:rPr>
          <w:lang w:eastAsia="zh-CN"/>
        </w:rPr>
      </w:pPr>
      <w:r w:rsidRPr="00C227E3">
        <w:t>Conclusion</w:t>
      </w:r>
    </w:p>
    <w:p w14:paraId="4A7CCD54" w14:textId="67D2CE37" w:rsidR="00AF5673" w:rsidRDefault="00A96F9C" w:rsidP="00AF5673">
      <w:pPr>
        <w:spacing w:after="120"/>
      </w:pPr>
      <w:r>
        <w:t xml:space="preserve">This contribution has presented issues </w:t>
      </w:r>
      <w:r w:rsidR="00832CA7">
        <w:t>in</w:t>
      </w:r>
      <w:r>
        <w:t xml:space="preserve"> </w:t>
      </w:r>
      <w:r w:rsidR="00C01983">
        <w:t>HARQ-ACK, CA with mixed numerology, and SCell power saving</w:t>
      </w:r>
      <w:r>
        <w:t xml:space="preserve">. </w:t>
      </w:r>
      <w:r w:rsidR="007B645F">
        <w:t>The following</w:t>
      </w:r>
      <w:r w:rsidR="00EC3500">
        <w:t xml:space="preserve"> observation and </w:t>
      </w:r>
      <w:r w:rsidR="007B645F">
        <w:t>proposals have been made:</w:t>
      </w:r>
    </w:p>
    <w:p w14:paraId="63572407" w14:textId="5E4EF126" w:rsidR="002E19AD" w:rsidRDefault="002E19AD" w:rsidP="0053268B"/>
    <w:p w14:paraId="599A4391" w14:textId="77777777" w:rsidR="00ED5580" w:rsidRDefault="00331915">
      <w:pPr>
        <w:pStyle w:val="TableofFigures"/>
        <w:tabs>
          <w:tab w:val="right" w:leader="dot" w:pos="9628"/>
        </w:tabs>
        <w:rPr>
          <w:rFonts w:asciiTheme="minorHAnsi" w:eastAsiaTheme="minorEastAsia" w:hAnsiTheme="minorHAnsi" w:cstheme="minorBidi"/>
          <w:noProof/>
          <w:sz w:val="22"/>
          <w:szCs w:val="22"/>
        </w:rPr>
      </w:pPr>
      <w:r>
        <w:fldChar w:fldCharType="begin"/>
      </w:r>
      <w:r>
        <w:instrText xml:space="preserve"> TOC \n \c "Proposal" </w:instrText>
      </w:r>
      <w:r>
        <w:fldChar w:fldCharType="separate"/>
      </w:r>
      <w:r w:rsidR="00ED5580">
        <w:rPr>
          <w:noProof/>
        </w:rPr>
        <w:t xml:space="preserve">Proposal 1: Revise RAN1 #92 agreement so that it applies regardless of codebook type: </w:t>
      </w:r>
      <w:r w:rsidR="00ED5580" w:rsidRPr="00262AFB">
        <w:rPr>
          <w:strike/>
          <w:noProof/>
        </w:rPr>
        <w:t>When a UE is configured with semi-static HARQ-ACK codebook,</w:t>
      </w:r>
      <w:r w:rsidR="00ED5580">
        <w:rPr>
          <w:noProof/>
        </w:rPr>
        <w:t xml:space="preserve"> HARQ-ACK corresponding to PDSCH transmission(s) of the DL BWP before DL and/or UL BWP switching is not transmitted by the UE after the switching</w:t>
      </w:r>
    </w:p>
    <w:p w14:paraId="0E1F0837"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2: A “reference set” of non-overlapping candidates which also defines the max number of non-overlapping candidates unicast PDSCH occasions per slot should be implicitly signaled to the UE based on position information in the pdsch-symbolAllocation table.</w:t>
      </w:r>
    </w:p>
    <w:p w14:paraId="578AE718"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3:HARQ-ACK bit association for candidates in the reference set is based on the rank within the set.</w:t>
      </w:r>
    </w:p>
    <w:p w14:paraId="06D057A4"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4: Candidates not belonging to the reference set can be mapped to reference candidates for HARQ-ACK bit association.</w:t>
      </w:r>
    </w:p>
    <w:p w14:paraId="01BEF2D8"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5: UE expects that if it traverses the pdsch-symbolAllocation table for SLIV associated with a particular k0 of interest, the first entries should have non-overlapping SLIV. As soon as an overlapping SLIV (other conditions not precluded) is encountered, UE considers the previously traversed entries with non-overlapping SLIV constitute the reference set. The direction of traversing is from the largest indexed to smaller indexed entries in the table.</w:t>
      </w:r>
    </w:p>
    <w:p w14:paraId="1576E7CB"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6:</w:t>
      </w:r>
      <w:r>
        <w:rPr>
          <w:noProof/>
          <w:lang w:eastAsia="x-none"/>
        </w:rPr>
        <w:t xml:space="preserve"> When dynamic HARQ-ACK codebook is configured for a UE, and the UE received CBG-based transmission, then UE always pads two TB-based NACKs in the feedback.</w:t>
      </w:r>
    </w:p>
    <w:p w14:paraId="0DA70761"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7: It is clarified that based on 38.214 V15.0.1, for a given slot, UE is not expected to transmit CSI report(s) triggered by more than one CSI requests received in multiple DCIs, in both CA and non-CA scenarios. No spec update is necessary.</w:t>
      </w:r>
    </w:p>
    <w:p w14:paraId="5BD2DA4B"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8: Cross carrier slot-based scheduling is allowed toward equal or later slot only (defined by the beginning of the slot).</w:t>
      </w:r>
    </w:p>
    <w:p w14:paraId="430D6914"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9: When a larger SCS schedules a smaller SCS for DL data, the overlapping slot is considered as K0=0.</w:t>
      </w:r>
    </w:p>
    <w:p w14:paraId="74850B70"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10: When a smaller SCS schedules a larger SCS for DL data, K0=0 is defined for the slot whose beginning slot boundary is aligned with that of the slot containing PDCCH with DL grant.</w:t>
      </w:r>
    </w:p>
    <w:p w14:paraId="2F14CC76"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11: A separate DCI per grant is supported for cross carrier scheduling with mixed numerology in Rel-15.</w:t>
      </w:r>
    </w:p>
    <w:p w14:paraId="4BF49F9C"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12: When a larger SCS schedules a smaller SCS for UL data, the overlapping slot is considered as K2=0.</w:t>
      </w:r>
    </w:p>
    <w:p w14:paraId="029C0E39"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13: When a smaller SCS schedules a larger SCS for UL data, K2=0 is defined for the slot whose beginning slot boundary is aligned with that of the slot containing PDCCH with UL grant.</w:t>
      </w:r>
    </w:p>
    <w:p w14:paraId="37DA5F6C"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 xml:space="preserve">Proposal 14: </w:t>
      </w:r>
      <w:r>
        <w:rPr>
          <w:noProof/>
          <w:lang w:eastAsia="x-none"/>
        </w:rPr>
        <w:t>For cross carrier scheduling with mixed numerology, a single DCI is used to schedule the transmission of the same TB across multiple slots in slot-aggregation. The K1 timing starts from the end of the last transmission in the aggregated transmissions.</w:t>
      </w:r>
    </w:p>
    <w:p w14:paraId="4F8B8D59"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15: For Rel-15, cross-carrier scheduling with mixed numerology has the same limit on the number of DCI supported per slot based on the numerology of the scheduling carrier as compared to cross-carrier scheduling with the same numerology.</w:t>
      </w:r>
    </w:p>
    <w:p w14:paraId="37BA7B61"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16: When A/N is transmitted on a carrier with a smaller SCS, the overlapping slot is considered as K1=0.</w:t>
      </w:r>
    </w:p>
    <w:p w14:paraId="081C0F3C"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17: When A/N is transmitted on a carrier with a larger SCS, K1=0 is defined for the slot whose ending slot boundary is aligned with that of the slot containing PDSCH.</w:t>
      </w:r>
    </w:p>
    <w:p w14:paraId="37811FDA"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18: Frequency-first, time-second DAI counter accumulation order is preferred for dynamic HARQ-ACK codebook.</w:t>
      </w:r>
    </w:p>
    <w:p w14:paraId="6FAFCABB" w14:textId="77777777" w:rsidR="00ED5580" w:rsidRDefault="00ED5580">
      <w:pPr>
        <w:pStyle w:val="TableofFigures"/>
        <w:tabs>
          <w:tab w:val="right" w:leader="dot" w:pos="9628"/>
        </w:tabs>
        <w:rPr>
          <w:rFonts w:asciiTheme="minorHAnsi" w:eastAsiaTheme="minorEastAsia" w:hAnsiTheme="minorHAnsi" w:cstheme="minorBidi"/>
          <w:noProof/>
          <w:sz w:val="22"/>
          <w:szCs w:val="22"/>
        </w:rPr>
      </w:pPr>
      <w:r>
        <w:rPr>
          <w:noProof/>
        </w:rPr>
        <w:t>Proposal 19: Resume discussion on SCell low-power / deactivated state and relation to BWP in RAN1 in light of recent introduction of LTE new SCell state for power saving, and corresponding discussions in RAN2 for NR and RAN4 update on SCell activation /deactivation timeline for NR.</w:t>
      </w:r>
    </w:p>
    <w:p w14:paraId="5BDA1C8B" w14:textId="05A0E0B5" w:rsidR="00854A0C" w:rsidRDefault="00331915" w:rsidP="00FA680F">
      <w:pPr>
        <w:pStyle w:val="Caption"/>
        <w:ind w:left="720"/>
      </w:pPr>
      <w:r>
        <w:fldChar w:fldCharType="end"/>
      </w:r>
    </w:p>
    <w:p w14:paraId="100E5DD8" w14:textId="372C8C66" w:rsidR="00387D4C" w:rsidRDefault="00387D4C" w:rsidP="00387D4C">
      <w:pPr>
        <w:pStyle w:val="Heading1"/>
      </w:pPr>
      <w:r>
        <w:t>References</w:t>
      </w:r>
    </w:p>
    <w:p w14:paraId="03C094DE" w14:textId="4084A2A5" w:rsidR="00387D4C" w:rsidRDefault="00387D4C" w:rsidP="00C359AA">
      <w:pPr>
        <w:numPr>
          <w:ilvl w:val="0"/>
          <w:numId w:val="10"/>
        </w:numPr>
        <w:textAlignment w:val="auto"/>
      </w:pPr>
      <w:r>
        <w:t>R2-1714289, “</w:t>
      </w:r>
      <w:r>
        <w:rPr>
          <w:noProof/>
        </w:rPr>
        <w:t>Running CR for euCA Stage-2”</w:t>
      </w:r>
    </w:p>
    <w:p w14:paraId="3B605EDF" w14:textId="3A7311C2" w:rsidR="00BC625F" w:rsidRDefault="00BC625F" w:rsidP="00C359AA">
      <w:pPr>
        <w:numPr>
          <w:ilvl w:val="0"/>
          <w:numId w:val="10"/>
        </w:numPr>
        <w:textAlignment w:val="auto"/>
      </w:pPr>
      <w:bookmarkStart w:id="317" w:name="_Ref506580308"/>
      <w:r>
        <w:t>R1-1720694, “Open Issues on CA”, RAN1 #91, Qualcomm.</w:t>
      </w:r>
      <w:bookmarkEnd w:id="317"/>
    </w:p>
    <w:p w14:paraId="6B7D1591" w14:textId="354FD30F" w:rsidR="00BC625F" w:rsidRDefault="00BC625F" w:rsidP="00C359AA">
      <w:pPr>
        <w:numPr>
          <w:ilvl w:val="0"/>
          <w:numId w:val="10"/>
        </w:numPr>
        <w:textAlignment w:val="auto"/>
      </w:pPr>
      <w:bookmarkStart w:id="318" w:name="_Ref506580309"/>
      <w:r>
        <w:t>R1-1800552, “On remaining aspects of BWPs”, RAN1 NR AH1801, Nokia</w:t>
      </w:r>
      <w:bookmarkEnd w:id="318"/>
    </w:p>
    <w:p w14:paraId="5260B5A6" w14:textId="37D4CBF9" w:rsidR="00BC625F" w:rsidRDefault="00213342" w:rsidP="00C359AA">
      <w:pPr>
        <w:numPr>
          <w:ilvl w:val="0"/>
          <w:numId w:val="10"/>
        </w:numPr>
        <w:textAlignment w:val="auto"/>
      </w:pPr>
      <w:bookmarkStart w:id="319" w:name="_Ref506580882"/>
      <w:r>
        <w:t>R2-1801432, “Dormant BWP for fast SCell activation”, RAN2 NR AH#1 (Vancouver), Qualcomm</w:t>
      </w:r>
      <w:bookmarkEnd w:id="319"/>
    </w:p>
    <w:p w14:paraId="79A1E88B" w14:textId="1FC366D5" w:rsidR="00D27351" w:rsidRDefault="00D27351" w:rsidP="00C359AA">
      <w:pPr>
        <w:numPr>
          <w:ilvl w:val="0"/>
          <w:numId w:val="10"/>
        </w:numPr>
        <w:textAlignment w:val="auto"/>
      </w:pPr>
      <w:bookmarkStart w:id="320" w:name="_Ref510358192"/>
      <w:r>
        <w:t>Chairman’s Notes</w:t>
      </w:r>
      <w:r>
        <w:tab/>
        <w:t>3GPP TSG RAN WG1 #92</w:t>
      </w:r>
      <w:bookmarkEnd w:id="320"/>
    </w:p>
    <w:p w14:paraId="288265FA" w14:textId="08167FE9" w:rsidR="00FE092D" w:rsidRDefault="009B719B" w:rsidP="00FE092D">
      <w:pPr>
        <w:numPr>
          <w:ilvl w:val="0"/>
          <w:numId w:val="10"/>
        </w:numPr>
        <w:textAlignment w:val="auto"/>
      </w:pPr>
      <w:bookmarkStart w:id="321" w:name="_Ref510786088"/>
      <w:r w:rsidRPr="009B719B">
        <w:t>R1-1804804</w:t>
      </w:r>
      <w:r>
        <w:t>, “</w:t>
      </w:r>
      <w:r w:rsidRPr="009B719B">
        <w:t>Remaining issues for multiplexing UCI on PUSCH</w:t>
      </w:r>
      <w:r>
        <w:t>”, RAN1 #92bis, Qualcomm</w:t>
      </w:r>
      <w:bookmarkEnd w:id="321"/>
    </w:p>
    <w:p w14:paraId="6235BA26" w14:textId="48B6C7A2" w:rsidR="00FE092D" w:rsidRDefault="00FE092D" w:rsidP="00FE092D">
      <w:pPr>
        <w:numPr>
          <w:ilvl w:val="0"/>
          <w:numId w:val="10"/>
        </w:numPr>
        <w:textAlignment w:val="auto"/>
      </w:pPr>
      <w:bookmarkStart w:id="322" w:name="_Ref510805164"/>
      <w:r w:rsidRPr="00FE092D">
        <w:t>R1-1804809</w:t>
      </w:r>
      <w:r>
        <w:t>, “</w:t>
      </w:r>
      <w:r w:rsidRPr="00FE092D">
        <w:t>Remaining issues on BWP</w:t>
      </w:r>
      <w:r>
        <w:t>”, RAN1 #92bis, Qualcomm</w:t>
      </w:r>
      <w:bookmarkEnd w:id="322"/>
    </w:p>
    <w:p w14:paraId="43130483" w14:textId="6AFFE605" w:rsidR="00387D4C" w:rsidRPr="00387D4C" w:rsidRDefault="00387D4C" w:rsidP="00387D4C">
      <w:pPr>
        <w:rPr>
          <w:lang w:val="en-GB"/>
        </w:rPr>
      </w:pPr>
      <w:bookmarkStart w:id="323" w:name="_GoBack"/>
      <w:bookmarkEnd w:id="323"/>
    </w:p>
    <w:sectPr w:rsidR="00387D4C" w:rsidRPr="00387D4C" w:rsidSect="008331BB">
      <w:headerReference w:type="even" r:id="rId28"/>
      <w:footerReference w:type="even" r:id="rId29"/>
      <w:footerReference w:type="default" r:id="rId30"/>
      <w:footnotePr>
        <w:numRestart w:val="eachSect"/>
      </w:footnotePr>
      <w:type w:val="continuous"/>
      <w:pgSz w:w="11906" w:h="16838" w:code="9"/>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08C052" w14:textId="77777777" w:rsidR="00326880" w:rsidRDefault="00326880">
      <w:r>
        <w:separator/>
      </w:r>
    </w:p>
  </w:endnote>
  <w:endnote w:type="continuationSeparator" w:id="0">
    <w:p w14:paraId="2BFD07CC" w14:textId="77777777" w:rsidR="00326880" w:rsidRDefault="00326880">
      <w:r>
        <w:continuationSeparator/>
      </w:r>
    </w:p>
  </w:endnote>
  <w:endnote w:type="continuationNotice" w:id="1">
    <w:p w14:paraId="78814A0E" w14:textId="77777777" w:rsidR="00326880" w:rsidRDefault="0032688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1" w14:textId="77777777" w:rsidR="00E6666C" w:rsidRDefault="00E6666C"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E6666C" w:rsidRDefault="00E6666C"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3" w14:textId="27061442" w:rsidR="00E6666C" w:rsidRDefault="00E6666C"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CD48D5" w14:textId="77777777" w:rsidR="00326880" w:rsidRDefault="00326880">
      <w:r>
        <w:separator/>
      </w:r>
    </w:p>
  </w:footnote>
  <w:footnote w:type="continuationSeparator" w:id="0">
    <w:p w14:paraId="2139EB87" w14:textId="77777777" w:rsidR="00326880" w:rsidRDefault="00326880">
      <w:r>
        <w:continuationSeparator/>
      </w:r>
    </w:p>
  </w:footnote>
  <w:footnote w:type="continuationNotice" w:id="1">
    <w:p w14:paraId="07E5132C" w14:textId="77777777" w:rsidR="00326880" w:rsidRDefault="0032688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0" w14:textId="77777777" w:rsidR="00E6666C" w:rsidRDefault="00E6666C">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67154A3"/>
    <w:multiLevelType w:val="hybridMultilevel"/>
    <w:tmpl w:val="45AC5CF8"/>
    <w:lvl w:ilvl="0" w:tplc="58F290D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8E003B"/>
    <w:multiLevelType w:val="hybridMultilevel"/>
    <w:tmpl w:val="A82651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D7327BF"/>
    <w:multiLevelType w:val="hybridMultilevel"/>
    <w:tmpl w:val="6B90DFE6"/>
    <w:lvl w:ilvl="0" w:tplc="60AE8B56">
      <w:start w:val="1"/>
      <w:numFmt w:val="bullet"/>
      <w:lvlText w:val="•"/>
      <w:lvlJc w:val="left"/>
      <w:pPr>
        <w:ind w:left="620" w:hanging="420"/>
      </w:pPr>
      <w:rPr>
        <w:rFonts w:ascii="Arial" w:hAnsi="Arial"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 w15:restartNumberingAfterBreak="0">
    <w:nsid w:val="11D54A7D"/>
    <w:multiLevelType w:val="hybridMultilevel"/>
    <w:tmpl w:val="BA584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B31703"/>
    <w:multiLevelType w:val="hybridMultilevel"/>
    <w:tmpl w:val="1CAC5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2E3E97"/>
    <w:multiLevelType w:val="hybridMultilevel"/>
    <w:tmpl w:val="50D08D5A"/>
    <w:lvl w:ilvl="0" w:tplc="1AE2AF86">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15:restartNumberingAfterBreak="0">
    <w:nsid w:val="3AA918AA"/>
    <w:multiLevelType w:val="hybridMultilevel"/>
    <w:tmpl w:val="D8FE1F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1E2CEA"/>
    <w:multiLevelType w:val="hybridMultilevel"/>
    <w:tmpl w:val="6D0E21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B30420B"/>
    <w:multiLevelType w:val="hybridMultilevel"/>
    <w:tmpl w:val="B080AE9C"/>
    <w:lvl w:ilvl="0" w:tplc="60AE8B56">
      <w:start w:val="1"/>
      <w:numFmt w:val="bullet"/>
      <w:lvlText w:val="•"/>
      <w:lvlJc w:val="left"/>
      <w:pPr>
        <w:ind w:left="620" w:hanging="420"/>
      </w:pPr>
      <w:rPr>
        <w:rFonts w:ascii="Arial" w:hAnsi="Arial" w:hint="default"/>
      </w:rPr>
    </w:lvl>
    <w:lvl w:ilvl="1" w:tplc="04090003">
      <w:start w:val="1"/>
      <w:numFmt w:val="bullet"/>
      <w:lvlText w:val="o"/>
      <w:lvlJc w:val="left"/>
      <w:pPr>
        <w:ind w:left="1040" w:hanging="420"/>
      </w:pPr>
      <w:rPr>
        <w:rFonts w:ascii="Courier New" w:hAnsi="Courier New" w:cs="Courier New"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4C324CA8"/>
    <w:multiLevelType w:val="hybridMultilevel"/>
    <w:tmpl w:val="4ACCD342"/>
    <w:lvl w:ilvl="0" w:tplc="65EC744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F7B576F"/>
    <w:multiLevelType w:val="hybridMultilevel"/>
    <w:tmpl w:val="F04AE0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061348A"/>
    <w:multiLevelType w:val="hybridMultilevel"/>
    <w:tmpl w:val="37D2D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1D31A39"/>
    <w:multiLevelType w:val="hybridMultilevel"/>
    <w:tmpl w:val="6C183312"/>
    <w:lvl w:ilvl="0" w:tplc="A676AA02">
      <w:start w:val="1"/>
      <w:numFmt w:val="bullet"/>
      <w:lvlText w:val=""/>
      <w:lvlJc w:val="left"/>
      <w:pPr>
        <w:tabs>
          <w:tab w:val="num" w:pos="720"/>
        </w:tabs>
        <w:ind w:left="720" w:hanging="360"/>
      </w:pPr>
      <w:rPr>
        <w:rFonts w:ascii="Symbol" w:hAnsi="Symbol" w:hint="default"/>
      </w:rPr>
    </w:lvl>
    <w:lvl w:ilvl="1" w:tplc="7E6EA448">
      <w:start w:val="168"/>
      <w:numFmt w:val="bullet"/>
      <w:lvlText w:val="−"/>
      <w:lvlJc w:val="left"/>
      <w:pPr>
        <w:tabs>
          <w:tab w:val="num" w:pos="1440"/>
        </w:tabs>
        <w:ind w:left="1440" w:hanging="360"/>
      </w:pPr>
      <w:rPr>
        <w:rFonts w:ascii="Calibre Regular" w:hAnsi="Calibre Regular" w:hint="default"/>
      </w:rPr>
    </w:lvl>
    <w:lvl w:ilvl="2" w:tplc="CC3A60C8" w:tentative="1">
      <w:start w:val="1"/>
      <w:numFmt w:val="bullet"/>
      <w:lvlText w:val=""/>
      <w:lvlJc w:val="left"/>
      <w:pPr>
        <w:tabs>
          <w:tab w:val="num" w:pos="2160"/>
        </w:tabs>
        <w:ind w:left="2160" w:hanging="360"/>
      </w:pPr>
      <w:rPr>
        <w:rFonts w:ascii="Symbol" w:hAnsi="Symbol" w:hint="default"/>
      </w:rPr>
    </w:lvl>
    <w:lvl w:ilvl="3" w:tplc="63448AC0" w:tentative="1">
      <w:start w:val="1"/>
      <w:numFmt w:val="bullet"/>
      <w:lvlText w:val=""/>
      <w:lvlJc w:val="left"/>
      <w:pPr>
        <w:tabs>
          <w:tab w:val="num" w:pos="2880"/>
        </w:tabs>
        <w:ind w:left="2880" w:hanging="360"/>
      </w:pPr>
      <w:rPr>
        <w:rFonts w:ascii="Symbol" w:hAnsi="Symbol" w:hint="default"/>
      </w:rPr>
    </w:lvl>
    <w:lvl w:ilvl="4" w:tplc="61C666AA" w:tentative="1">
      <w:start w:val="1"/>
      <w:numFmt w:val="bullet"/>
      <w:lvlText w:val=""/>
      <w:lvlJc w:val="left"/>
      <w:pPr>
        <w:tabs>
          <w:tab w:val="num" w:pos="3600"/>
        </w:tabs>
        <w:ind w:left="3600" w:hanging="360"/>
      </w:pPr>
      <w:rPr>
        <w:rFonts w:ascii="Symbol" w:hAnsi="Symbol" w:hint="default"/>
      </w:rPr>
    </w:lvl>
    <w:lvl w:ilvl="5" w:tplc="235CFDBE" w:tentative="1">
      <w:start w:val="1"/>
      <w:numFmt w:val="bullet"/>
      <w:lvlText w:val=""/>
      <w:lvlJc w:val="left"/>
      <w:pPr>
        <w:tabs>
          <w:tab w:val="num" w:pos="4320"/>
        </w:tabs>
        <w:ind w:left="4320" w:hanging="360"/>
      </w:pPr>
      <w:rPr>
        <w:rFonts w:ascii="Symbol" w:hAnsi="Symbol" w:hint="default"/>
      </w:rPr>
    </w:lvl>
    <w:lvl w:ilvl="6" w:tplc="1EBA1B40" w:tentative="1">
      <w:start w:val="1"/>
      <w:numFmt w:val="bullet"/>
      <w:lvlText w:val=""/>
      <w:lvlJc w:val="left"/>
      <w:pPr>
        <w:tabs>
          <w:tab w:val="num" w:pos="5040"/>
        </w:tabs>
        <w:ind w:left="5040" w:hanging="360"/>
      </w:pPr>
      <w:rPr>
        <w:rFonts w:ascii="Symbol" w:hAnsi="Symbol" w:hint="default"/>
      </w:rPr>
    </w:lvl>
    <w:lvl w:ilvl="7" w:tplc="B790943E" w:tentative="1">
      <w:start w:val="1"/>
      <w:numFmt w:val="bullet"/>
      <w:lvlText w:val=""/>
      <w:lvlJc w:val="left"/>
      <w:pPr>
        <w:tabs>
          <w:tab w:val="num" w:pos="5760"/>
        </w:tabs>
        <w:ind w:left="5760" w:hanging="360"/>
      </w:pPr>
      <w:rPr>
        <w:rFonts w:ascii="Symbol" w:hAnsi="Symbol" w:hint="default"/>
      </w:rPr>
    </w:lvl>
    <w:lvl w:ilvl="8" w:tplc="AA1A404E"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62F223EE"/>
    <w:multiLevelType w:val="hybridMultilevel"/>
    <w:tmpl w:val="313E760C"/>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200" w:hanging="420"/>
      </w:pPr>
      <w:rPr>
        <w:rFonts w:ascii="Wingdings" w:hAnsi="Wingdings" w:hint="default"/>
      </w:rPr>
    </w:lvl>
    <w:lvl w:ilvl="2" w:tplc="0409000D">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19" w15:restartNumberingAfterBreak="0">
    <w:nsid w:val="656B16BC"/>
    <w:multiLevelType w:val="hybridMultilevel"/>
    <w:tmpl w:val="87F4181A"/>
    <w:lvl w:ilvl="0" w:tplc="A9E6613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C60902"/>
    <w:multiLevelType w:val="hybridMultilevel"/>
    <w:tmpl w:val="0E54FBF2"/>
    <w:lvl w:ilvl="0" w:tplc="16065294">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88B5948"/>
    <w:multiLevelType w:val="hybridMultilevel"/>
    <w:tmpl w:val="09AEC92C"/>
    <w:lvl w:ilvl="0" w:tplc="17EAEB2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3"/>
  </w:num>
  <w:num w:numId="3">
    <w:abstractNumId w:val="9"/>
  </w:num>
  <w:num w:numId="4">
    <w:abstractNumId w:val="21"/>
  </w:num>
  <w:num w:numId="5">
    <w:abstractNumId w:val="11"/>
  </w:num>
  <w:num w:numId="6">
    <w:abstractNumId w:val="20"/>
  </w:num>
  <w:num w:numId="7">
    <w:abstractNumId w:val="16"/>
  </w:num>
  <w:num w:numId="8">
    <w:abstractNumId w:val="15"/>
  </w:num>
  <w:num w:numId="9">
    <w:abstractNumId w:val="14"/>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12"/>
  </w:num>
  <w:num w:numId="13">
    <w:abstractNumId w:val="18"/>
  </w:num>
  <w:num w:numId="14">
    <w:abstractNumId w:val="6"/>
  </w:num>
  <w:num w:numId="15">
    <w:abstractNumId w:val="7"/>
  </w:num>
  <w:num w:numId="16">
    <w:abstractNumId w:val="1"/>
  </w:num>
  <w:num w:numId="17">
    <w:abstractNumId w:val="13"/>
  </w:num>
  <w:num w:numId="18">
    <w:abstractNumId w:val="17"/>
  </w:num>
  <w:num w:numId="19">
    <w:abstractNumId w:val="5"/>
  </w:num>
  <w:num w:numId="20">
    <w:abstractNumId w:val="2"/>
  </w:num>
  <w:num w:numId="21">
    <w:abstractNumId w:val="19"/>
  </w:num>
  <w:num w:numId="22">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ECA"/>
    <w:rsid w:val="00000F7F"/>
    <w:rsid w:val="00001375"/>
    <w:rsid w:val="00001F79"/>
    <w:rsid w:val="00001FC3"/>
    <w:rsid w:val="000022AF"/>
    <w:rsid w:val="00002375"/>
    <w:rsid w:val="0000270A"/>
    <w:rsid w:val="00002A8E"/>
    <w:rsid w:val="00003131"/>
    <w:rsid w:val="00003227"/>
    <w:rsid w:val="000037FB"/>
    <w:rsid w:val="00003B0E"/>
    <w:rsid w:val="00003EF4"/>
    <w:rsid w:val="0000403F"/>
    <w:rsid w:val="00004885"/>
    <w:rsid w:val="00004D8C"/>
    <w:rsid w:val="00004DCB"/>
    <w:rsid w:val="000051F0"/>
    <w:rsid w:val="0000545A"/>
    <w:rsid w:val="0000553B"/>
    <w:rsid w:val="0000590F"/>
    <w:rsid w:val="00005D97"/>
    <w:rsid w:val="000063BC"/>
    <w:rsid w:val="00006780"/>
    <w:rsid w:val="00006C7A"/>
    <w:rsid w:val="000070F5"/>
    <w:rsid w:val="00007495"/>
    <w:rsid w:val="00007749"/>
    <w:rsid w:val="0000792C"/>
    <w:rsid w:val="00007B4B"/>
    <w:rsid w:val="00007D32"/>
    <w:rsid w:val="000101EF"/>
    <w:rsid w:val="00010E97"/>
    <w:rsid w:val="00010FD1"/>
    <w:rsid w:val="0001117C"/>
    <w:rsid w:val="000124D1"/>
    <w:rsid w:val="00012D57"/>
    <w:rsid w:val="0001321B"/>
    <w:rsid w:val="0001369A"/>
    <w:rsid w:val="000137BA"/>
    <w:rsid w:val="00013B63"/>
    <w:rsid w:val="00013F64"/>
    <w:rsid w:val="000141F0"/>
    <w:rsid w:val="00014E0E"/>
    <w:rsid w:val="00015BCB"/>
    <w:rsid w:val="00015CED"/>
    <w:rsid w:val="000162B2"/>
    <w:rsid w:val="00016441"/>
    <w:rsid w:val="0001645D"/>
    <w:rsid w:val="000164BB"/>
    <w:rsid w:val="000167A6"/>
    <w:rsid w:val="00016DCE"/>
    <w:rsid w:val="00017309"/>
    <w:rsid w:val="000178F8"/>
    <w:rsid w:val="0002002A"/>
    <w:rsid w:val="000205C1"/>
    <w:rsid w:val="0002085F"/>
    <w:rsid w:val="000209D8"/>
    <w:rsid w:val="00020D61"/>
    <w:rsid w:val="00021001"/>
    <w:rsid w:val="000210B6"/>
    <w:rsid w:val="0002113C"/>
    <w:rsid w:val="0002130A"/>
    <w:rsid w:val="00021911"/>
    <w:rsid w:val="00021B96"/>
    <w:rsid w:val="00021C67"/>
    <w:rsid w:val="00021DEC"/>
    <w:rsid w:val="00021FE3"/>
    <w:rsid w:val="000221EB"/>
    <w:rsid w:val="000222F7"/>
    <w:rsid w:val="000233F4"/>
    <w:rsid w:val="00023C29"/>
    <w:rsid w:val="00024D64"/>
    <w:rsid w:val="00024E37"/>
    <w:rsid w:val="0002506A"/>
    <w:rsid w:val="000255A1"/>
    <w:rsid w:val="000258DD"/>
    <w:rsid w:val="0002591B"/>
    <w:rsid w:val="000266AE"/>
    <w:rsid w:val="00026905"/>
    <w:rsid w:val="00026977"/>
    <w:rsid w:val="00026B7D"/>
    <w:rsid w:val="00026C64"/>
    <w:rsid w:val="00026E4C"/>
    <w:rsid w:val="00026EF9"/>
    <w:rsid w:val="00027333"/>
    <w:rsid w:val="000273DF"/>
    <w:rsid w:val="000300FE"/>
    <w:rsid w:val="00030619"/>
    <w:rsid w:val="000307C6"/>
    <w:rsid w:val="00030F74"/>
    <w:rsid w:val="00030F85"/>
    <w:rsid w:val="000312B4"/>
    <w:rsid w:val="0003134F"/>
    <w:rsid w:val="000317B2"/>
    <w:rsid w:val="00031DBF"/>
    <w:rsid w:val="00031EDD"/>
    <w:rsid w:val="000321DC"/>
    <w:rsid w:val="000325EF"/>
    <w:rsid w:val="00032A0C"/>
    <w:rsid w:val="00033EB8"/>
    <w:rsid w:val="00034882"/>
    <w:rsid w:val="000349B7"/>
    <w:rsid w:val="0003540B"/>
    <w:rsid w:val="00035574"/>
    <w:rsid w:val="00035D1F"/>
    <w:rsid w:val="00036199"/>
    <w:rsid w:val="000365A2"/>
    <w:rsid w:val="0003698E"/>
    <w:rsid w:val="00036C45"/>
    <w:rsid w:val="00036FA7"/>
    <w:rsid w:val="000370B4"/>
    <w:rsid w:val="0003723F"/>
    <w:rsid w:val="000372BF"/>
    <w:rsid w:val="000377E3"/>
    <w:rsid w:val="00037A21"/>
    <w:rsid w:val="00037C2D"/>
    <w:rsid w:val="000402B6"/>
    <w:rsid w:val="0004032C"/>
    <w:rsid w:val="000404F2"/>
    <w:rsid w:val="00040AAD"/>
    <w:rsid w:val="00040C15"/>
    <w:rsid w:val="000413B8"/>
    <w:rsid w:val="000416DE"/>
    <w:rsid w:val="0004182E"/>
    <w:rsid w:val="000418C8"/>
    <w:rsid w:val="0004198E"/>
    <w:rsid w:val="00041B22"/>
    <w:rsid w:val="00041D52"/>
    <w:rsid w:val="00041EC3"/>
    <w:rsid w:val="000421F3"/>
    <w:rsid w:val="00042BFC"/>
    <w:rsid w:val="000430CF"/>
    <w:rsid w:val="00043266"/>
    <w:rsid w:val="00043407"/>
    <w:rsid w:val="00043703"/>
    <w:rsid w:val="00044225"/>
    <w:rsid w:val="00044576"/>
    <w:rsid w:val="00044872"/>
    <w:rsid w:val="00044EDB"/>
    <w:rsid w:val="00044F4F"/>
    <w:rsid w:val="00044FC4"/>
    <w:rsid w:val="000451E5"/>
    <w:rsid w:val="00045378"/>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D3D"/>
    <w:rsid w:val="0005201C"/>
    <w:rsid w:val="0005241E"/>
    <w:rsid w:val="0005291A"/>
    <w:rsid w:val="00052AE3"/>
    <w:rsid w:val="000531A8"/>
    <w:rsid w:val="000532C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DF9"/>
    <w:rsid w:val="00057F68"/>
    <w:rsid w:val="00057F6C"/>
    <w:rsid w:val="00060586"/>
    <w:rsid w:val="0006090A"/>
    <w:rsid w:val="00060FDB"/>
    <w:rsid w:val="000612C5"/>
    <w:rsid w:val="000613C1"/>
    <w:rsid w:val="000616E1"/>
    <w:rsid w:val="00061BDC"/>
    <w:rsid w:val="00061D2A"/>
    <w:rsid w:val="00061D56"/>
    <w:rsid w:val="000621A9"/>
    <w:rsid w:val="0006263A"/>
    <w:rsid w:val="00062D9A"/>
    <w:rsid w:val="000630FB"/>
    <w:rsid w:val="000631CE"/>
    <w:rsid w:val="00063485"/>
    <w:rsid w:val="00063F57"/>
    <w:rsid w:val="0006480B"/>
    <w:rsid w:val="00064A2B"/>
    <w:rsid w:val="00064B46"/>
    <w:rsid w:val="00065016"/>
    <w:rsid w:val="00065031"/>
    <w:rsid w:val="00065033"/>
    <w:rsid w:val="000653AD"/>
    <w:rsid w:val="00065439"/>
    <w:rsid w:val="0006549C"/>
    <w:rsid w:val="000659DD"/>
    <w:rsid w:val="00065D64"/>
    <w:rsid w:val="00065E39"/>
    <w:rsid w:val="000667D1"/>
    <w:rsid w:val="000669DA"/>
    <w:rsid w:val="00067087"/>
    <w:rsid w:val="0006721A"/>
    <w:rsid w:val="0006739D"/>
    <w:rsid w:val="0006777C"/>
    <w:rsid w:val="00067CA8"/>
    <w:rsid w:val="00067FE2"/>
    <w:rsid w:val="00070192"/>
    <w:rsid w:val="00070A9A"/>
    <w:rsid w:val="00070FC3"/>
    <w:rsid w:val="0007118F"/>
    <w:rsid w:val="0007162A"/>
    <w:rsid w:val="000716FB"/>
    <w:rsid w:val="00071740"/>
    <w:rsid w:val="00072A48"/>
    <w:rsid w:val="00072E75"/>
    <w:rsid w:val="00072EFA"/>
    <w:rsid w:val="00072FF7"/>
    <w:rsid w:val="000731C7"/>
    <w:rsid w:val="0007337F"/>
    <w:rsid w:val="0007368E"/>
    <w:rsid w:val="00073785"/>
    <w:rsid w:val="00073974"/>
    <w:rsid w:val="000741B3"/>
    <w:rsid w:val="00074375"/>
    <w:rsid w:val="000743A0"/>
    <w:rsid w:val="00074A9E"/>
    <w:rsid w:val="00074BF5"/>
    <w:rsid w:val="000752CD"/>
    <w:rsid w:val="000755A9"/>
    <w:rsid w:val="00075680"/>
    <w:rsid w:val="00075999"/>
    <w:rsid w:val="00075AB6"/>
    <w:rsid w:val="00076408"/>
    <w:rsid w:val="0007661E"/>
    <w:rsid w:val="00077073"/>
    <w:rsid w:val="0007796D"/>
    <w:rsid w:val="0008022A"/>
    <w:rsid w:val="00080418"/>
    <w:rsid w:val="000805B2"/>
    <w:rsid w:val="00080D74"/>
    <w:rsid w:val="00080FA6"/>
    <w:rsid w:val="00081383"/>
    <w:rsid w:val="000822AD"/>
    <w:rsid w:val="000826FF"/>
    <w:rsid w:val="00082A49"/>
    <w:rsid w:val="00082C90"/>
    <w:rsid w:val="00082D86"/>
    <w:rsid w:val="000832D0"/>
    <w:rsid w:val="00083322"/>
    <w:rsid w:val="0008399B"/>
    <w:rsid w:val="00083ABE"/>
    <w:rsid w:val="00083DB2"/>
    <w:rsid w:val="00083F52"/>
    <w:rsid w:val="00084255"/>
    <w:rsid w:val="00085239"/>
    <w:rsid w:val="000855A3"/>
    <w:rsid w:val="00085F08"/>
    <w:rsid w:val="00086210"/>
    <w:rsid w:val="000862BA"/>
    <w:rsid w:val="000862F6"/>
    <w:rsid w:val="00086B50"/>
    <w:rsid w:val="00086C4D"/>
    <w:rsid w:val="0008760B"/>
    <w:rsid w:val="0008782D"/>
    <w:rsid w:val="00087E29"/>
    <w:rsid w:val="0009037D"/>
    <w:rsid w:val="00090394"/>
    <w:rsid w:val="00090573"/>
    <w:rsid w:val="00090779"/>
    <w:rsid w:val="000915CE"/>
    <w:rsid w:val="00091ADD"/>
    <w:rsid w:val="000921E3"/>
    <w:rsid w:val="00092A3D"/>
    <w:rsid w:val="00092D01"/>
    <w:rsid w:val="000931C3"/>
    <w:rsid w:val="00093566"/>
    <w:rsid w:val="00093F75"/>
    <w:rsid w:val="0009437A"/>
    <w:rsid w:val="000947B7"/>
    <w:rsid w:val="0009512D"/>
    <w:rsid w:val="00095468"/>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D49"/>
    <w:rsid w:val="000A23E5"/>
    <w:rsid w:val="000A26E4"/>
    <w:rsid w:val="000A2D70"/>
    <w:rsid w:val="000A31F7"/>
    <w:rsid w:val="000A3ACB"/>
    <w:rsid w:val="000A3C82"/>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9AC"/>
    <w:rsid w:val="000B0E8D"/>
    <w:rsid w:val="000B10AB"/>
    <w:rsid w:val="000B10E2"/>
    <w:rsid w:val="000B130E"/>
    <w:rsid w:val="000B19F8"/>
    <w:rsid w:val="000B1CD3"/>
    <w:rsid w:val="000B2250"/>
    <w:rsid w:val="000B256B"/>
    <w:rsid w:val="000B32D4"/>
    <w:rsid w:val="000B38DA"/>
    <w:rsid w:val="000B3F37"/>
    <w:rsid w:val="000B4788"/>
    <w:rsid w:val="000B49D7"/>
    <w:rsid w:val="000B546F"/>
    <w:rsid w:val="000B59AA"/>
    <w:rsid w:val="000B6030"/>
    <w:rsid w:val="000B63BC"/>
    <w:rsid w:val="000B65BE"/>
    <w:rsid w:val="000B6BDF"/>
    <w:rsid w:val="000B71B6"/>
    <w:rsid w:val="000B7B2B"/>
    <w:rsid w:val="000B7D5E"/>
    <w:rsid w:val="000C133A"/>
    <w:rsid w:val="000C1545"/>
    <w:rsid w:val="000C1DBD"/>
    <w:rsid w:val="000C2052"/>
    <w:rsid w:val="000C22A8"/>
    <w:rsid w:val="000C240A"/>
    <w:rsid w:val="000C2DE1"/>
    <w:rsid w:val="000C2E7E"/>
    <w:rsid w:val="000C393F"/>
    <w:rsid w:val="000C4065"/>
    <w:rsid w:val="000C4137"/>
    <w:rsid w:val="000C4493"/>
    <w:rsid w:val="000C4538"/>
    <w:rsid w:val="000C4C76"/>
    <w:rsid w:val="000C5759"/>
    <w:rsid w:val="000C5D34"/>
    <w:rsid w:val="000C5E7D"/>
    <w:rsid w:val="000C673C"/>
    <w:rsid w:val="000C69F8"/>
    <w:rsid w:val="000C6A01"/>
    <w:rsid w:val="000C71D9"/>
    <w:rsid w:val="000D0153"/>
    <w:rsid w:val="000D037E"/>
    <w:rsid w:val="000D0A0F"/>
    <w:rsid w:val="000D0AB8"/>
    <w:rsid w:val="000D0B71"/>
    <w:rsid w:val="000D0BCC"/>
    <w:rsid w:val="000D0F9A"/>
    <w:rsid w:val="000D10A8"/>
    <w:rsid w:val="000D148D"/>
    <w:rsid w:val="000D14EB"/>
    <w:rsid w:val="000D1610"/>
    <w:rsid w:val="000D206C"/>
    <w:rsid w:val="000D2185"/>
    <w:rsid w:val="000D2578"/>
    <w:rsid w:val="000D2AE0"/>
    <w:rsid w:val="000D2CDA"/>
    <w:rsid w:val="000D362A"/>
    <w:rsid w:val="000D36AC"/>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4B9"/>
    <w:rsid w:val="000E182B"/>
    <w:rsid w:val="000E1E8E"/>
    <w:rsid w:val="000E2355"/>
    <w:rsid w:val="000E2787"/>
    <w:rsid w:val="000E279B"/>
    <w:rsid w:val="000E2D36"/>
    <w:rsid w:val="000E3075"/>
    <w:rsid w:val="000E311C"/>
    <w:rsid w:val="000E331F"/>
    <w:rsid w:val="000E3358"/>
    <w:rsid w:val="000E38ED"/>
    <w:rsid w:val="000E3F84"/>
    <w:rsid w:val="000E40C3"/>
    <w:rsid w:val="000E4C9B"/>
    <w:rsid w:val="000E4D01"/>
    <w:rsid w:val="000E502E"/>
    <w:rsid w:val="000E5830"/>
    <w:rsid w:val="000E5C4E"/>
    <w:rsid w:val="000E5CA5"/>
    <w:rsid w:val="000E5E3A"/>
    <w:rsid w:val="000E6576"/>
    <w:rsid w:val="000E65A7"/>
    <w:rsid w:val="000E6635"/>
    <w:rsid w:val="000E6BAF"/>
    <w:rsid w:val="000E6EED"/>
    <w:rsid w:val="000E6F62"/>
    <w:rsid w:val="000E7F51"/>
    <w:rsid w:val="000F00D8"/>
    <w:rsid w:val="000F095B"/>
    <w:rsid w:val="000F13C4"/>
    <w:rsid w:val="000F13D7"/>
    <w:rsid w:val="000F17E4"/>
    <w:rsid w:val="000F1878"/>
    <w:rsid w:val="000F1A06"/>
    <w:rsid w:val="000F1CF3"/>
    <w:rsid w:val="000F1F98"/>
    <w:rsid w:val="000F20CD"/>
    <w:rsid w:val="000F2965"/>
    <w:rsid w:val="000F34C7"/>
    <w:rsid w:val="000F3B40"/>
    <w:rsid w:val="000F3F2F"/>
    <w:rsid w:val="000F42EA"/>
    <w:rsid w:val="000F4C0A"/>
    <w:rsid w:val="000F4CAF"/>
    <w:rsid w:val="000F4D2F"/>
    <w:rsid w:val="000F4F44"/>
    <w:rsid w:val="000F53CB"/>
    <w:rsid w:val="000F5C75"/>
    <w:rsid w:val="000F6799"/>
    <w:rsid w:val="000F6881"/>
    <w:rsid w:val="000F6C32"/>
    <w:rsid w:val="000F6CB0"/>
    <w:rsid w:val="000F6D86"/>
    <w:rsid w:val="000F7CAD"/>
    <w:rsid w:val="000F7D65"/>
    <w:rsid w:val="00100097"/>
    <w:rsid w:val="001000E9"/>
    <w:rsid w:val="00100161"/>
    <w:rsid w:val="00100169"/>
    <w:rsid w:val="0010067A"/>
    <w:rsid w:val="001009BB"/>
    <w:rsid w:val="001010D7"/>
    <w:rsid w:val="0010129F"/>
    <w:rsid w:val="00101489"/>
    <w:rsid w:val="001017C8"/>
    <w:rsid w:val="00101A0E"/>
    <w:rsid w:val="00101ACE"/>
    <w:rsid w:val="00101D6C"/>
    <w:rsid w:val="00102147"/>
    <w:rsid w:val="001021DD"/>
    <w:rsid w:val="001021F1"/>
    <w:rsid w:val="00102366"/>
    <w:rsid w:val="00102A33"/>
    <w:rsid w:val="00102E56"/>
    <w:rsid w:val="001032D0"/>
    <w:rsid w:val="00103658"/>
    <w:rsid w:val="0010366C"/>
    <w:rsid w:val="00103ECB"/>
    <w:rsid w:val="00104058"/>
    <w:rsid w:val="0010405D"/>
    <w:rsid w:val="00104228"/>
    <w:rsid w:val="00104979"/>
    <w:rsid w:val="00104A80"/>
    <w:rsid w:val="001050B7"/>
    <w:rsid w:val="001050F9"/>
    <w:rsid w:val="0010521E"/>
    <w:rsid w:val="0010568A"/>
    <w:rsid w:val="001056C5"/>
    <w:rsid w:val="00105820"/>
    <w:rsid w:val="00105CEE"/>
    <w:rsid w:val="00105DA1"/>
    <w:rsid w:val="00105EFB"/>
    <w:rsid w:val="0010660E"/>
    <w:rsid w:val="00106A95"/>
    <w:rsid w:val="00106C39"/>
    <w:rsid w:val="00106CC3"/>
    <w:rsid w:val="00106E7E"/>
    <w:rsid w:val="00106FF1"/>
    <w:rsid w:val="00107423"/>
    <w:rsid w:val="0010795D"/>
    <w:rsid w:val="0011034F"/>
    <w:rsid w:val="0011036F"/>
    <w:rsid w:val="00110851"/>
    <w:rsid w:val="00111494"/>
    <w:rsid w:val="001115C0"/>
    <w:rsid w:val="001115F4"/>
    <w:rsid w:val="001116D2"/>
    <w:rsid w:val="0011190B"/>
    <w:rsid w:val="00111AD9"/>
    <w:rsid w:val="0011211D"/>
    <w:rsid w:val="0011230B"/>
    <w:rsid w:val="001126ED"/>
    <w:rsid w:val="00112975"/>
    <w:rsid w:val="00112B8F"/>
    <w:rsid w:val="001134DA"/>
    <w:rsid w:val="0011372B"/>
    <w:rsid w:val="00113BC7"/>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02A"/>
    <w:rsid w:val="00116339"/>
    <w:rsid w:val="00116A2D"/>
    <w:rsid w:val="001175EF"/>
    <w:rsid w:val="00117677"/>
    <w:rsid w:val="00117957"/>
    <w:rsid w:val="00117C78"/>
    <w:rsid w:val="001201EA"/>
    <w:rsid w:val="001203DB"/>
    <w:rsid w:val="0012079F"/>
    <w:rsid w:val="001207F3"/>
    <w:rsid w:val="00120C13"/>
    <w:rsid w:val="00121769"/>
    <w:rsid w:val="00121E1A"/>
    <w:rsid w:val="00122727"/>
    <w:rsid w:val="00122842"/>
    <w:rsid w:val="001232D2"/>
    <w:rsid w:val="0012345C"/>
    <w:rsid w:val="00123486"/>
    <w:rsid w:val="00123975"/>
    <w:rsid w:val="00123DED"/>
    <w:rsid w:val="00124033"/>
    <w:rsid w:val="0012467D"/>
    <w:rsid w:val="001246EC"/>
    <w:rsid w:val="001249D7"/>
    <w:rsid w:val="001249FC"/>
    <w:rsid w:val="00124E10"/>
    <w:rsid w:val="00125078"/>
    <w:rsid w:val="0012523E"/>
    <w:rsid w:val="001252FE"/>
    <w:rsid w:val="001255A6"/>
    <w:rsid w:val="00125D34"/>
    <w:rsid w:val="0012636F"/>
    <w:rsid w:val="001268D1"/>
    <w:rsid w:val="001274AC"/>
    <w:rsid w:val="001275E6"/>
    <w:rsid w:val="00127ACA"/>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27F"/>
    <w:rsid w:val="0013334C"/>
    <w:rsid w:val="00133EBD"/>
    <w:rsid w:val="00134B15"/>
    <w:rsid w:val="00135015"/>
    <w:rsid w:val="00135095"/>
    <w:rsid w:val="00135517"/>
    <w:rsid w:val="00135829"/>
    <w:rsid w:val="00135884"/>
    <w:rsid w:val="001358A7"/>
    <w:rsid w:val="001358F4"/>
    <w:rsid w:val="0013612A"/>
    <w:rsid w:val="00136998"/>
    <w:rsid w:val="00136AAD"/>
    <w:rsid w:val="00136EE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E42"/>
    <w:rsid w:val="00142F73"/>
    <w:rsid w:val="00143153"/>
    <w:rsid w:val="0014371C"/>
    <w:rsid w:val="00143EFE"/>
    <w:rsid w:val="00143FFE"/>
    <w:rsid w:val="00144134"/>
    <w:rsid w:val="0014471E"/>
    <w:rsid w:val="0014491B"/>
    <w:rsid w:val="00144B3F"/>
    <w:rsid w:val="00144D67"/>
    <w:rsid w:val="00144E04"/>
    <w:rsid w:val="001454C4"/>
    <w:rsid w:val="001462D7"/>
    <w:rsid w:val="00146577"/>
    <w:rsid w:val="00146773"/>
    <w:rsid w:val="0014703E"/>
    <w:rsid w:val="00147679"/>
    <w:rsid w:val="00147D65"/>
    <w:rsid w:val="00147D91"/>
    <w:rsid w:val="001508E1"/>
    <w:rsid w:val="001510ED"/>
    <w:rsid w:val="001516D9"/>
    <w:rsid w:val="001517AB"/>
    <w:rsid w:val="00151805"/>
    <w:rsid w:val="00151897"/>
    <w:rsid w:val="00152066"/>
    <w:rsid w:val="001522B3"/>
    <w:rsid w:val="00152559"/>
    <w:rsid w:val="00152744"/>
    <w:rsid w:val="00152A3B"/>
    <w:rsid w:val="0015347E"/>
    <w:rsid w:val="00153A48"/>
    <w:rsid w:val="00153A6B"/>
    <w:rsid w:val="00153E69"/>
    <w:rsid w:val="00153EEF"/>
    <w:rsid w:val="00153F29"/>
    <w:rsid w:val="001544AB"/>
    <w:rsid w:val="00154F0D"/>
    <w:rsid w:val="00155178"/>
    <w:rsid w:val="0015554F"/>
    <w:rsid w:val="00155D53"/>
    <w:rsid w:val="0015622B"/>
    <w:rsid w:val="00156260"/>
    <w:rsid w:val="00156284"/>
    <w:rsid w:val="00156502"/>
    <w:rsid w:val="001565C4"/>
    <w:rsid w:val="00156615"/>
    <w:rsid w:val="0016019C"/>
    <w:rsid w:val="001601C7"/>
    <w:rsid w:val="001602C2"/>
    <w:rsid w:val="001603B9"/>
    <w:rsid w:val="00160452"/>
    <w:rsid w:val="00160674"/>
    <w:rsid w:val="00160786"/>
    <w:rsid w:val="00162262"/>
    <w:rsid w:val="001623A3"/>
    <w:rsid w:val="00162BD5"/>
    <w:rsid w:val="00162CF1"/>
    <w:rsid w:val="00162F82"/>
    <w:rsid w:val="001630E4"/>
    <w:rsid w:val="0016368F"/>
    <w:rsid w:val="001639BC"/>
    <w:rsid w:val="00163AFC"/>
    <w:rsid w:val="00163B00"/>
    <w:rsid w:val="00163C9A"/>
    <w:rsid w:val="00164646"/>
    <w:rsid w:val="001647FA"/>
    <w:rsid w:val="00165137"/>
    <w:rsid w:val="001652DD"/>
    <w:rsid w:val="00165A42"/>
    <w:rsid w:val="00165D2D"/>
    <w:rsid w:val="00165D9A"/>
    <w:rsid w:val="0016634F"/>
    <w:rsid w:val="001665D2"/>
    <w:rsid w:val="00166809"/>
    <w:rsid w:val="00166879"/>
    <w:rsid w:val="001669F9"/>
    <w:rsid w:val="00166D9E"/>
    <w:rsid w:val="00166EE2"/>
    <w:rsid w:val="00166F5E"/>
    <w:rsid w:val="0016700E"/>
    <w:rsid w:val="00167125"/>
    <w:rsid w:val="0016733C"/>
    <w:rsid w:val="0016764C"/>
    <w:rsid w:val="001678E1"/>
    <w:rsid w:val="00167ACD"/>
    <w:rsid w:val="00170397"/>
    <w:rsid w:val="00170482"/>
    <w:rsid w:val="001706E4"/>
    <w:rsid w:val="001708D0"/>
    <w:rsid w:val="00170E05"/>
    <w:rsid w:val="00170EA1"/>
    <w:rsid w:val="00171661"/>
    <w:rsid w:val="00171876"/>
    <w:rsid w:val="00171B5E"/>
    <w:rsid w:val="00171BC2"/>
    <w:rsid w:val="00171D7E"/>
    <w:rsid w:val="00171F14"/>
    <w:rsid w:val="00172261"/>
    <w:rsid w:val="001729E1"/>
    <w:rsid w:val="00172B61"/>
    <w:rsid w:val="00172C20"/>
    <w:rsid w:val="001738A5"/>
    <w:rsid w:val="00173A00"/>
    <w:rsid w:val="00173D38"/>
    <w:rsid w:val="001742A6"/>
    <w:rsid w:val="00174DDB"/>
    <w:rsid w:val="00175009"/>
    <w:rsid w:val="001752EC"/>
    <w:rsid w:val="00175A6E"/>
    <w:rsid w:val="00175B5A"/>
    <w:rsid w:val="00175EF2"/>
    <w:rsid w:val="00176414"/>
    <w:rsid w:val="00176BDB"/>
    <w:rsid w:val="0017714C"/>
    <w:rsid w:val="0017722E"/>
    <w:rsid w:val="00177447"/>
    <w:rsid w:val="00177482"/>
    <w:rsid w:val="00177711"/>
    <w:rsid w:val="00177A0D"/>
    <w:rsid w:val="00177AC2"/>
    <w:rsid w:val="00177DFF"/>
    <w:rsid w:val="00177EBD"/>
    <w:rsid w:val="0018016C"/>
    <w:rsid w:val="001806A9"/>
    <w:rsid w:val="00180860"/>
    <w:rsid w:val="00180D96"/>
    <w:rsid w:val="00180E60"/>
    <w:rsid w:val="001817BA"/>
    <w:rsid w:val="00181B3A"/>
    <w:rsid w:val="00181E7C"/>
    <w:rsid w:val="001820B2"/>
    <w:rsid w:val="001821E9"/>
    <w:rsid w:val="0018246F"/>
    <w:rsid w:val="00182718"/>
    <w:rsid w:val="00182D06"/>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67B"/>
    <w:rsid w:val="001902B8"/>
    <w:rsid w:val="001908C5"/>
    <w:rsid w:val="00190927"/>
    <w:rsid w:val="00190BD5"/>
    <w:rsid w:val="00190C5A"/>
    <w:rsid w:val="00190D28"/>
    <w:rsid w:val="00191727"/>
    <w:rsid w:val="00191EBF"/>
    <w:rsid w:val="00192338"/>
    <w:rsid w:val="00192589"/>
    <w:rsid w:val="001925E5"/>
    <w:rsid w:val="001929F7"/>
    <w:rsid w:val="00193924"/>
    <w:rsid w:val="00193987"/>
    <w:rsid w:val="00193EEE"/>
    <w:rsid w:val="00194955"/>
    <w:rsid w:val="00195657"/>
    <w:rsid w:val="0019573B"/>
    <w:rsid w:val="0019592C"/>
    <w:rsid w:val="00196085"/>
    <w:rsid w:val="00196B90"/>
    <w:rsid w:val="00196DE8"/>
    <w:rsid w:val="00196FF4"/>
    <w:rsid w:val="001970EF"/>
    <w:rsid w:val="0019734F"/>
    <w:rsid w:val="001A0303"/>
    <w:rsid w:val="001A0313"/>
    <w:rsid w:val="001A0676"/>
    <w:rsid w:val="001A067A"/>
    <w:rsid w:val="001A06C8"/>
    <w:rsid w:val="001A1337"/>
    <w:rsid w:val="001A2939"/>
    <w:rsid w:val="001A2F35"/>
    <w:rsid w:val="001A2FD5"/>
    <w:rsid w:val="001A3037"/>
    <w:rsid w:val="001A30FB"/>
    <w:rsid w:val="001A36CF"/>
    <w:rsid w:val="001A3974"/>
    <w:rsid w:val="001A3BBA"/>
    <w:rsid w:val="001A3F0F"/>
    <w:rsid w:val="001A3FA5"/>
    <w:rsid w:val="001A4B4D"/>
    <w:rsid w:val="001A4EDF"/>
    <w:rsid w:val="001A5308"/>
    <w:rsid w:val="001A6164"/>
    <w:rsid w:val="001A61A0"/>
    <w:rsid w:val="001A6AFE"/>
    <w:rsid w:val="001A6E27"/>
    <w:rsid w:val="001A706D"/>
    <w:rsid w:val="001A71EB"/>
    <w:rsid w:val="001A72EE"/>
    <w:rsid w:val="001A7826"/>
    <w:rsid w:val="001A79DA"/>
    <w:rsid w:val="001A7FBA"/>
    <w:rsid w:val="001B00B2"/>
    <w:rsid w:val="001B0149"/>
    <w:rsid w:val="001B0251"/>
    <w:rsid w:val="001B0407"/>
    <w:rsid w:val="001B0799"/>
    <w:rsid w:val="001B08BE"/>
    <w:rsid w:val="001B1565"/>
    <w:rsid w:val="001B2993"/>
    <w:rsid w:val="001B2C18"/>
    <w:rsid w:val="001B35C1"/>
    <w:rsid w:val="001B3754"/>
    <w:rsid w:val="001B3A10"/>
    <w:rsid w:val="001B4371"/>
    <w:rsid w:val="001B5332"/>
    <w:rsid w:val="001B54E9"/>
    <w:rsid w:val="001B55DE"/>
    <w:rsid w:val="001B635D"/>
    <w:rsid w:val="001B70CF"/>
    <w:rsid w:val="001B7244"/>
    <w:rsid w:val="001B748B"/>
    <w:rsid w:val="001B768B"/>
    <w:rsid w:val="001B7905"/>
    <w:rsid w:val="001C005D"/>
    <w:rsid w:val="001C0085"/>
    <w:rsid w:val="001C063F"/>
    <w:rsid w:val="001C0874"/>
    <w:rsid w:val="001C0883"/>
    <w:rsid w:val="001C0FF5"/>
    <w:rsid w:val="001C12A0"/>
    <w:rsid w:val="001C16A9"/>
    <w:rsid w:val="001C19EB"/>
    <w:rsid w:val="001C1E53"/>
    <w:rsid w:val="001C211D"/>
    <w:rsid w:val="001C22B1"/>
    <w:rsid w:val="001C2A8B"/>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39F"/>
    <w:rsid w:val="001C66D2"/>
    <w:rsid w:val="001C7426"/>
    <w:rsid w:val="001C7F47"/>
    <w:rsid w:val="001D006C"/>
    <w:rsid w:val="001D056C"/>
    <w:rsid w:val="001D0578"/>
    <w:rsid w:val="001D0593"/>
    <w:rsid w:val="001D1258"/>
    <w:rsid w:val="001D19F8"/>
    <w:rsid w:val="001D1CFF"/>
    <w:rsid w:val="001D1E1F"/>
    <w:rsid w:val="001D23A3"/>
    <w:rsid w:val="001D2B3C"/>
    <w:rsid w:val="001D2E6C"/>
    <w:rsid w:val="001D2F8F"/>
    <w:rsid w:val="001D35DC"/>
    <w:rsid w:val="001D43C0"/>
    <w:rsid w:val="001D448E"/>
    <w:rsid w:val="001D4969"/>
    <w:rsid w:val="001D4AF0"/>
    <w:rsid w:val="001D4F24"/>
    <w:rsid w:val="001D506F"/>
    <w:rsid w:val="001D57BC"/>
    <w:rsid w:val="001D65DA"/>
    <w:rsid w:val="001D6E61"/>
    <w:rsid w:val="001D6F30"/>
    <w:rsid w:val="001D7260"/>
    <w:rsid w:val="001D7816"/>
    <w:rsid w:val="001D7ADE"/>
    <w:rsid w:val="001D7B96"/>
    <w:rsid w:val="001D7FE2"/>
    <w:rsid w:val="001E0772"/>
    <w:rsid w:val="001E09F4"/>
    <w:rsid w:val="001E0A73"/>
    <w:rsid w:val="001E111F"/>
    <w:rsid w:val="001E1284"/>
    <w:rsid w:val="001E1524"/>
    <w:rsid w:val="001E16D8"/>
    <w:rsid w:val="001E1710"/>
    <w:rsid w:val="001E1D3C"/>
    <w:rsid w:val="001E1DDA"/>
    <w:rsid w:val="001E220A"/>
    <w:rsid w:val="001E251E"/>
    <w:rsid w:val="001E266E"/>
    <w:rsid w:val="001E2E7F"/>
    <w:rsid w:val="001E2EEF"/>
    <w:rsid w:val="001E3188"/>
    <w:rsid w:val="001E31D1"/>
    <w:rsid w:val="001E32BE"/>
    <w:rsid w:val="001E3A45"/>
    <w:rsid w:val="001E420B"/>
    <w:rsid w:val="001E4704"/>
    <w:rsid w:val="001E5B27"/>
    <w:rsid w:val="001E5BB2"/>
    <w:rsid w:val="001E5D1F"/>
    <w:rsid w:val="001E6313"/>
    <w:rsid w:val="001E6BDA"/>
    <w:rsid w:val="001E6C1B"/>
    <w:rsid w:val="001E7173"/>
    <w:rsid w:val="001E719A"/>
    <w:rsid w:val="001E750C"/>
    <w:rsid w:val="001E7712"/>
    <w:rsid w:val="001E7A8F"/>
    <w:rsid w:val="001E7BE3"/>
    <w:rsid w:val="001E7D26"/>
    <w:rsid w:val="001F020C"/>
    <w:rsid w:val="001F0546"/>
    <w:rsid w:val="001F06D6"/>
    <w:rsid w:val="001F0DDF"/>
    <w:rsid w:val="001F11F0"/>
    <w:rsid w:val="001F18E2"/>
    <w:rsid w:val="001F1B1E"/>
    <w:rsid w:val="001F1BEA"/>
    <w:rsid w:val="001F1DFA"/>
    <w:rsid w:val="001F1E26"/>
    <w:rsid w:val="001F22A9"/>
    <w:rsid w:val="001F26E9"/>
    <w:rsid w:val="001F29D5"/>
    <w:rsid w:val="001F2D17"/>
    <w:rsid w:val="001F2E08"/>
    <w:rsid w:val="001F33A0"/>
    <w:rsid w:val="001F35A8"/>
    <w:rsid w:val="001F39AB"/>
    <w:rsid w:val="001F45E8"/>
    <w:rsid w:val="001F4E57"/>
    <w:rsid w:val="001F514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573"/>
    <w:rsid w:val="002016C0"/>
    <w:rsid w:val="00201A5F"/>
    <w:rsid w:val="00201B59"/>
    <w:rsid w:val="00201DEC"/>
    <w:rsid w:val="002024E6"/>
    <w:rsid w:val="00202D2E"/>
    <w:rsid w:val="00203159"/>
    <w:rsid w:val="00203658"/>
    <w:rsid w:val="00203A6E"/>
    <w:rsid w:val="00203F00"/>
    <w:rsid w:val="00203F5C"/>
    <w:rsid w:val="002047DE"/>
    <w:rsid w:val="00204981"/>
    <w:rsid w:val="00204A5A"/>
    <w:rsid w:val="00204C12"/>
    <w:rsid w:val="00205543"/>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FA"/>
    <w:rsid w:val="00211D31"/>
    <w:rsid w:val="00211DD9"/>
    <w:rsid w:val="002123ED"/>
    <w:rsid w:val="00212816"/>
    <w:rsid w:val="002130BD"/>
    <w:rsid w:val="00213342"/>
    <w:rsid w:val="002137C4"/>
    <w:rsid w:val="00213851"/>
    <w:rsid w:val="00214E0D"/>
    <w:rsid w:val="0021512E"/>
    <w:rsid w:val="0021586D"/>
    <w:rsid w:val="00215D76"/>
    <w:rsid w:val="002162EA"/>
    <w:rsid w:val="002165F9"/>
    <w:rsid w:val="00216685"/>
    <w:rsid w:val="00216B17"/>
    <w:rsid w:val="00216BBF"/>
    <w:rsid w:val="00216D0D"/>
    <w:rsid w:val="00216ED1"/>
    <w:rsid w:val="00217135"/>
    <w:rsid w:val="0021797D"/>
    <w:rsid w:val="00217C32"/>
    <w:rsid w:val="00217CE8"/>
    <w:rsid w:val="0022003A"/>
    <w:rsid w:val="002202EC"/>
    <w:rsid w:val="002204ED"/>
    <w:rsid w:val="002208BE"/>
    <w:rsid w:val="0022091D"/>
    <w:rsid w:val="00220E92"/>
    <w:rsid w:val="00221022"/>
    <w:rsid w:val="0022135D"/>
    <w:rsid w:val="00221A25"/>
    <w:rsid w:val="00222052"/>
    <w:rsid w:val="002222A4"/>
    <w:rsid w:val="00222AB8"/>
    <w:rsid w:val="00222B25"/>
    <w:rsid w:val="00222FE7"/>
    <w:rsid w:val="00223833"/>
    <w:rsid w:val="00223847"/>
    <w:rsid w:val="00223ACD"/>
    <w:rsid w:val="00224A38"/>
    <w:rsid w:val="00224A9B"/>
    <w:rsid w:val="00225F53"/>
    <w:rsid w:val="0022657F"/>
    <w:rsid w:val="002269A7"/>
    <w:rsid w:val="00226A52"/>
    <w:rsid w:val="00226AE0"/>
    <w:rsid w:val="00226BD3"/>
    <w:rsid w:val="00226FE2"/>
    <w:rsid w:val="0022735A"/>
    <w:rsid w:val="00227652"/>
    <w:rsid w:val="00227850"/>
    <w:rsid w:val="00227873"/>
    <w:rsid w:val="002279D2"/>
    <w:rsid w:val="00227A1E"/>
    <w:rsid w:val="00227D0D"/>
    <w:rsid w:val="00227F9E"/>
    <w:rsid w:val="00230040"/>
    <w:rsid w:val="00230189"/>
    <w:rsid w:val="002303E8"/>
    <w:rsid w:val="00230AD3"/>
    <w:rsid w:val="00230BB1"/>
    <w:rsid w:val="0023124C"/>
    <w:rsid w:val="002314EE"/>
    <w:rsid w:val="00231740"/>
    <w:rsid w:val="00231B71"/>
    <w:rsid w:val="00231D67"/>
    <w:rsid w:val="00232149"/>
    <w:rsid w:val="00232191"/>
    <w:rsid w:val="0023265F"/>
    <w:rsid w:val="0023287C"/>
    <w:rsid w:val="00232E9D"/>
    <w:rsid w:val="0023324F"/>
    <w:rsid w:val="002344C8"/>
    <w:rsid w:val="002349C5"/>
    <w:rsid w:val="00234B73"/>
    <w:rsid w:val="00235581"/>
    <w:rsid w:val="00235698"/>
    <w:rsid w:val="00236850"/>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84B"/>
    <w:rsid w:val="0024286B"/>
    <w:rsid w:val="00242B2A"/>
    <w:rsid w:val="00242CAE"/>
    <w:rsid w:val="00243ACD"/>
    <w:rsid w:val="00243B7F"/>
    <w:rsid w:val="00243FCB"/>
    <w:rsid w:val="0024445A"/>
    <w:rsid w:val="00244606"/>
    <w:rsid w:val="00244924"/>
    <w:rsid w:val="002449F4"/>
    <w:rsid w:val="00245115"/>
    <w:rsid w:val="0024514D"/>
    <w:rsid w:val="00245167"/>
    <w:rsid w:val="0024520E"/>
    <w:rsid w:val="0024530E"/>
    <w:rsid w:val="00245492"/>
    <w:rsid w:val="00245A41"/>
    <w:rsid w:val="00245B70"/>
    <w:rsid w:val="00245D7D"/>
    <w:rsid w:val="00245E39"/>
    <w:rsid w:val="00245E49"/>
    <w:rsid w:val="00245FBA"/>
    <w:rsid w:val="00246BEB"/>
    <w:rsid w:val="00246C52"/>
    <w:rsid w:val="00246EB6"/>
    <w:rsid w:val="002475BE"/>
    <w:rsid w:val="00247660"/>
    <w:rsid w:val="0024785A"/>
    <w:rsid w:val="00247C92"/>
    <w:rsid w:val="00247DD1"/>
    <w:rsid w:val="002501CB"/>
    <w:rsid w:val="002506F5"/>
    <w:rsid w:val="002508C7"/>
    <w:rsid w:val="00250D9C"/>
    <w:rsid w:val="00251117"/>
    <w:rsid w:val="002512A9"/>
    <w:rsid w:val="002515EA"/>
    <w:rsid w:val="0025169E"/>
    <w:rsid w:val="00251723"/>
    <w:rsid w:val="00251843"/>
    <w:rsid w:val="00251929"/>
    <w:rsid w:val="00251F5E"/>
    <w:rsid w:val="00251F78"/>
    <w:rsid w:val="0025204B"/>
    <w:rsid w:val="002524F6"/>
    <w:rsid w:val="002530D6"/>
    <w:rsid w:val="002530D9"/>
    <w:rsid w:val="00253146"/>
    <w:rsid w:val="0025325D"/>
    <w:rsid w:val="002533FF"/>
    <w:rsid w:val="00253400"/>
    <w:rsid w:val="002537F5"/>
    <w:rsid w:val="00253905"/>
    <w:rsid w:val="002539D5"/>
    <w:rsid w:val="0025429A"/>
    <w:rsid w:val="0025655A"/>
    <w:rsid w:val="00256B22"/>
    <w:rsid w:val="00256B25"/>
    <w:rsid w:val="00256D51"/>
    <w:rsid w:val="00256F02"/>
    <w:rsid w:val="002571C8"/>
    <w:rsid w:val="002572F1"/>
    <w:rsid w:val="002573C4"/>
    <w:rsid w:val="00257A62"/>
    <w:rsid w:val="00257B60"/>
    <w:rsid w:val="00260156"/>
    <w:rsid w:val="00260669"/>
    <w:rsid w:val="0026075E"/>
    <w:rsid w:val="002608BD"/>
    <w:rsid w:val="00260FAD"/>
    <w:rsid w:val="002617F6"/>
    <w:rsid w:val="00261D05"/>
    <w:rsid w:val="00261E67"/>
    <w:rsid w:val="002623AC"/>
    <w:rsid w:val="00262979"/>
    <w:rsid w:val="00263038"/>
    <w:rsid w:val="002631DC"/>
    <w:rsid w:val="0026382D"/>
    <w:rsid w:val="0026385F"/>
    <w:rsid w:val="00263B75"/>
    <w:rsid w:val="00263DD9"/>
    <w:rsid w:val="00264256"/>
    <w:rsid w:val="0026432F"/>
    <w:rsid w:val="0026455A"/>
    <w:rsid w:val="0026460B"/>
    <w:rsid w:val="0026468A"/>
    <w:rsid w:val="00264C28"/>
    <w:rsid w:val="00264E37"/>
    <w:rsid w:val="002654D9"/>
    <w:rsid w:val="00265701"/>
    <w:rsid w:val="00265CB1"/>
    <w:rsid w:val="00265E9A"/>
    <w:rsid w:val="00266111"/>
    <w:rsid w:val="00266210"/>
    <w:rsid w:val="002664FA"/>
    <w:rsid w:val="00266867"/>
    <w:rsid w:val="0026716C"/>
    <w:rsid w:val="00267819"/>
    <w:rsid w:val="00267FE3"/>
    <w:rsid w:val="002706CC"/>
    <w:rsid w:val="002708DA"/>
    <w:rsid w:val="00270C63"/>
    <w:rsid w:val="00270C98"/>
    <w:rsid w:val="00270CF1"/>
    <w:rsid w:val="00270E57"/>
    <w:rsid w:val="00270E80"/>
    <w:rsid w:val="002711C3"/>
    <w:rsid w:val="002713CE"/>
    <w:rsid w:val="0027193C"/>
    <w:rsid w:val="00271EEF"/>
    <w:rsid w:val="0027242C"/>
    <w:rsid w:val="00272474"/>
    <w:rsid w:val="0027257A"/>
    <w:rsid w:val="00272736"/>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25CE"/>
    <w:rsid w:val="0028272A"/>
    <w:rsid w:val="00283165"/>
    <w:rsid w:val="002832E7"/>
    <w:rsid w:val="00284E7F"/>
    <w:rsid w:val="0028550D"/>
    <w:rsid w:val="00285520"/>
    <w:rsid w:val="00285894"/>
    <w:rsid w:val="00285E28"/>
    <w:rsid w:val="00286631"/>
    <w:rsid w:val="00286B84"/>
    <w:rsid w:val="00286F76"/>
    <w:rsid w:val="00287376"/>
    <w:rsid w:val="002877DE"/>
    <w:rsid w:val="00287821"/>
    <w:rsid w:val="00287C28"/>
    <w:rsid w:val="00287C39"/>
    <w:rsid w:val="00290254"/>
    <w:rsid w:val="00290C83"/>
    <w:rsid w:val="0029130D"/>
    <w:rsid w:val="0029142E"/>
    <w:rsid w:val="002915DA"/>
    <w:rsid w:val="0029178F"/>
    <w:rsid w:val="00291C45"/>
    <w:rsid w:val="00292540"/>
    <w:rsid w:val="0029279E"/>
    <w:rsid w:val="00293504"/>
    <w:rsid w:val="00293C49"/>
    <w:rsid w:val="00294266"/>
    <w:rsid w:val="002944CA"/>
    <w:rsid w:val="00294504"/>
    <w:rsid w:val="00294722"/>
    <w:rsid w:val="00294AB1"/>
    <w:rsid w:val="00294C8C"/>
    <w:rsid w:val="00295226"/>
    <w:rsid w:val="002953D0"/>
    <w:rsid w:val="00295F1C"/>
    <w:rsid w:val="002960D8"/>
    <w:rsid w:val="0029660E"/>
    <w:rsid w:val="00296758"/>
    <w:rsid w:val="0029696C"/>
    <w:rsid w:val="00296D93"/>
    <w:rsid w:val="00296FD8"/>
    <w:rsid w:val="0029743A"/>
    <w:rsid w:val="00297499"/>
    <w:rsid w:val="002974AA"/>
    <w:rsid w:val="002977A0"/>
    <w:rsid w:val="00297F46"/>
    <w:rsid w:val="002A025C"/>
    <w:rsid w:val="002A0581"/>
    <w:rsid w:val="002A05EF"/>
    <w:rsid w:val="002A067D"/>
    <w:rsid w:val="002A0724"/>
    <w:rsid w:val="002A1A57"/>
    <w:rsid w:val="002A1DA1"/>
    <w:rsid w:val="002A205B"/>
    <w:rsid w:val="002A21F2"/>
    <w:rsid w:val="002A2FB8"/>
    <w:rsid w:val="002A31FF"/>
    <w:rsid w:val="002A3668"/>
    <w:rsid w:val="002A3771"/>
    <w:rsid w:val="002A37C5"/>
    <w:rsid w:val="002A3AFD"/>
    <w:rsid w:val="002A3B12"/>
    <w:rsid w:val="002A4102"/>
    <w:rsid w:val="002A42EB"/>
    <w:rsid w:val="002A4918"/>
    <w:rsid w:val="002A4B7D"/>
    <w:rsid w:val="002A4E20"/>
    <w:rsid w:val="002A523D"/>
    <w:rsid w:val="002A5FC1"/>
    <w:rsid w:val="002A6EF8"/>
    <w:rsid w:val="002A732C"/>
    <w:rsid w:val="002A7671"/>
    <w:rsid w:val="002A7A6A"/>
    <w:rsid w:val="002A7AB4"/>
    <w:rsid w:val="002B07BF"/>
    <w:rsid w:val="002B0805"/>
    <w:rsid w:val="002B0960"/>
    <w:rsid w:val="002B0C99"/>
    <w:rsid w:val="002B10F9"/>
    <w:rsid w:val="002B12C7"/>
    <w:rsid w:val="002B1939"/>
    <w:rsid w:val="002B1AFA"/>
    <w:rsid w:val="002B21D6"/>
    <w:rsid w:val="002B2C92"/>
    <w:rsid w:val="002B3081"/>
    <w:rsid w:val="002B318B"/>
    <w:rsid w:val="002B32BC"/>
    <w:rsid w:val="002B340B"/>
    <w:rsid w:val="002B34AE"/>
    <w:rsid w:val="002B39E3"/>
    <w:rsid w:val="002B3B40"/>
    <w:rsid w:val="002B3D90"/>
    <w:rsid w:val="002B453B"/>
    <w:rsid w:val="002B4C39"/>
    <w:rsid w:val="002B567F"/>
    <w:rsid w:val="002B601A"/>
    <w:rsid w:val="002B61F1"/>
    <w:rsid w:val="002B64FE"/>
    <w:rsid w:val="002B694E"/>
    <w:rsid w:val="002B6D31"/>
    <w:rsid w:val="002B70A2"/>
    <w:rsid w:val="002B7D56"/>
    <w:rsid w:val="002C04C2"/>
    <w:rsid w:val="002C0818"/>
    <w:rsid w:val="002C08A0"/>
    <w:rsid w:val="002C0D11"/>
    <w:rsid w:val="002C1B17"/>
    <w:rsid w:val="002C1D21"/>
    <w:rsid w:val="002C203A"/>
    <w:rsid w:val="002C2AE9"/>
    <w:rsid w:val="002C2B29"/>
    <w:rsid w:val="002C2E8A"/>
    <w:rsid w:val="002C2FCD"/>
    <w:rsid w:val="002C3AE4"/>
    <w:rsid w:val="002C3E89"/>
    <w:rsid w:val="002C42AA"/>
    <w:rsid w:val="002C493A"/>
    <w:rsid w:val="002C4A25"/>
    <w:rsid w:val="002C4AF6"/>
    <w:rsid w:val="002C5533"/>
    <w:rsid w:val="002C5620"/>
    <w:rsid w:val="002C5A6B"/>
    <w:rsid w:val="002C61E0"/>
    <w:rsid w:val="002C640C"/>
    <w:rsid w:val="002C6D3C"/>
    <w:rsid w:val="002C7114"/>
    <w:rsid w:val="002C76DE"/>
    <w:rsid w:val="002C782F"/>
    <w:rsid w:val="002C7B03"/>
    <w:rsid w:val="002C7B0D"/>
    <w:rsid w:val="002C7EBB"/>
    <w:rsid w:val="002D001E"/>
    <w:rsid w:val="002D0115"/>
    <w:rsid w:val="002D0298"/>
    <w:rsid w:val="002D04DC"/>
    <w:rsid w:val="002D0657"/>
    <w:rsid w:val="002D0769"/>
    <w:rsid w:val="002D0820"/>
    <w:rsid w:val="002D09B3"/>
    <w:rsid w:val="002D1258"/>
    <w:rsid w:val="002D13B7"/>
    <w:rsid w:val="002D2A64"/>
    <w:rsid w:val="002D2B4E"/>
    <w:rsid w:val="002D3968"/>
    <w:rsid w:val="002D425A"/>
    <w:rsid w:val="002D4314"/>
    <w:rsid w:val="002D4A54"/>
    <w:rsid w:val="002D4E37"/>
    <w:rsid w:val="002D52E0"/>
    <w:rsid w:val="002D547D"/>
    <w:rsid w:val="002D5DEA"/>
    <w:rsid w:val="002D6127"/>
    <w:rsid w:val="002D61BE"/>
    <w:rsid w:val="002D61F0"/>
    <w:rsid w:val="002D6624"/>
    <w:rsid w:val="002D7235"/>
    <w:rsid w:val="002D72CD"/>
    <w:rsid w:val="002D76E8"/>
    <w:rsid w:val="002D78EF"/>
    <w:rsid w:val="002D7952"/>
    <w:rsid w:val="002E0E5E"/>
    <w:rsid w:val="002E0E94"/>
    <w:rsid w:val="002E15A5"/>
    <w:rsid w:val="002E16BC"/>
    <w:rsid w:val="002E19AD"/>
    <w:rsid w:val="002E1BA1"/>
    <w:rsid w:val="002E1E06"/>
    <w:rsid w:val="002E25D2"/>
    <w:rsid w:val="002E2738"/>
    <w:rsid w:val="002E2923"/>
    <w:rsid w:val="002E2A76"/>
    <w:rsid w:val="002E306D"/>
    <w:rsid w:val="002E3653"/>
    <w:rsid w:val="002E38B7"/>
    <w:rsid w:val="002E4301"/>
    <w:rsid w:val="002E58E1"/>
    <w:rsid w:val="002E5BDD"/>
    <w:rsid w:val="002E5C56"/>
    <w:rsid w:val="002E5D86"/>
    <w:rsid w:val="002E5DD7"/>
    <w:rsid w:val="002E6809"/>
    <w:rsid w:val="002E7780"/>
    <w:rsid w:val="002F0045"/>
    <w:rsid w:val="002F00F0"/>
    <w:rsid w:val="002F025B"/>
    <w:rsid w:val="002F0684"/>
    <w:rsid w:val="002F09C0"/>
    <w:rsid w:val="002F0ADB"/>
    <w:rsid w:val="002F0E34"/>
    <w:rsid w:val="002F22C3"/>
    <w:rsid w:val="002F2AE0"/>
    <w:rsid w:val="002F31C4"/>
    <w:rsid w:val="002F322F"/>
    <w:rsid w:val="002F3C04"/>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78C"/>
    <w:rsid w:val="002F7919"/>
    <w:rsid w:val="002F7B6D"/>
    <w:rsid w:val="002F7D48"/>
    <w:rsid w:val="002F7EC5"/>
    <w:rsid w:val="00300085"/>
    <w:rsid w:val="0030027C"/>
    <w:rsid w:val="003003AD"/>
    <w:rsid w:val="00300E5F"/>
    <w:rsid w:val="003011C0"/>
    <w:rsid w:val="00301686"/>
    <w:rsid w:val="00301DA6"/>
    <w:rsid w:val="00301EE4"/>
    <w:rsid w:val="003024DE"/>
    <w:rsid w:val="00302532"/>
    <w:rsid w:val="00302701"/>
    <w:rsid w:val="00302739"/>
    <w:rsid w:val="00302B48"/>
    <w:rsid w:val="00302EDE"/>
    <w:rsid w:val="00302FEF"/>
    <w:rsid w:val="0030318E"/>
    <w:rsid w:val="00304556"/>
    <w:rsid w:val="00304AC5"/>
    <w:rsid w:val="00304C9E"/>
    <w:rsid w:val="003065FB"/>
    <w:rsid w:val="00306ED2"/>
    <w:rsid w:val="00306F89"/>
    <w:rsid w:val="0030749E"/>
    <w:rsid w:val="00307B27"/>
    <w:rsid w:val="00307D88"/>
    <w:rsid w:val="00307E05"/>
    <w:rsid w:val="00307F28"/>
    <w:rsid w:val="003101DC"/>
    <w:rsid w:val="0031049F"/>
    <w:rsid w:val="00310CC6"/>
    <w:rsid w:val="00310F30"/>
    <w:rsid w:val="00311642"/>
    <w:rsid w:val="00311761"/>
    <w:rsid w:val="00311941"/>
    <w:rsid w:val="00312709"/>
    <w:rsid w:val="00312ACB"/>
    <w:rsid w:val="003134E8"/>
    <w:rsid w:val="00313765"/>
    <w:rsid w:val="003137A0"/>
    <w:rsid w:val="00313BC1"/>
    <w:rsid w:val="00313C4F"/>
    <w:rsid w:val="00314111"/>
    <w:rsid w:val="003141C2"/>
    <w:rsid w:val="00314CBB"/>
    <w:rsid w:val="003151F9"/>
    <w:rsid w:val="0031599D"/>
    <w:rsid w:val="00315DEC"/>
    <w:rsid w:val="00316064"/>
    <w:rsid w:val="00316C58"/>
    <w:rsid w:val="00316EAE"/>
    <w:rsid w:val="00317050"/>
    <w:rsid w:val="00317625"/>
    <w:rsid w:val="0031767A"/>
    <w:rsid w:val="00317731"/>
    <w:rsid w:val="00317919"/>
    <w:rsid w:val="00317BC5"/>
    <w:rsid w:val="00317C5E"/>
    <w:rsid w:val="0032013F"/>
    <w:rsid w:val="0032018E"/>
    <w:rsid w:val="00320310"/>
    <w:rsid w:val="00320B1B"/>
    <w:rsid w:val="00320B31"/>
    <w:rsid w:val="00320F1B"/>
    <w:rsid w:val="0032151E"/>
    <w:rsid w:val="0032172E"/>
    <w:rsid w:val="00321822"/>
    <w:rsid w:val="00321B02"/>
    <w:rsid w:val="00322BC3"/>
    <w:rsid w:val="00322C2B"/>
    <w:rsid w:val="00322E3B"/>
    <w:rsid w:val="003232E3"/>
    <w:rsid w:val="00323FAD"/>
    <w:rsid w:val="00324089"/>
    <w:rsid w:val="00324701"/>
    <w:rsid w:val="0032489D"/>
    <w:rsid w:val="003249F8"/>
    <w:rsid w:val="0032556B"/>
    <w:rsid w:val="0032651E"/>
    <w:rsid w:val="003267A6"/>
    <w:rsid w:val="00326880"/>
    <w:rsid w:val="003271E3"/>
    <w:rsid w:val="003272D0"/>
    <w:rsid w:val="003273DE"/>
    <w:rsid w:val="003278C7"/>
    <w:rsid w:val="0032793B"/>
    <w:rsid w:val="00327AEA"/>
    <w:rsid w:val="00327D99"/>
    <w:rsid w:val="00327FA5"/>
    <w:rsid w:val="003308C4"/>
    <w:rsid w:val="00330C30"/>
    <w:rsid w:val="00330DE8"/>
    <w:rsid w:val="00331915"/>
    <w:rsid w:val="00332123"/>
    <w:rsid w:val="003321C3"/>
    <w:rsid w:val="0033290E"/>
    <w:rsid w:val="00332962"/>
    <w:rsid w:val="00334E18"/>
    <w:rsid w:val="00335250"/>
    <w:rsid w:val="00335670"/>
    <w:rsid w:val="0033572D"/>
    <w:rsid w:val="0033592C"/>
    <w:rsid w:val="00335E2A"/>
    <w:rsid w:val="00336780"/>
    <w:rsid w:val="003367C5"/>
    <w:rsid w:val="00336DAD"/>
    <w:rsid w:val="00336DB3"/>
    <w:rsid w:val="00337065"/>
    <w:rsid w:val="00337B29"/>
    <w:rsid w:val="00337C71"/>
    <w:rsid w:val="003406B1"/>
    <w:rsid w:val="00340894"/>
    <w:rsid w:val="00340CC6"/>
    <w:rsid w:val="00340E58"/>
    <w:rsid w:val="00341087"/>
    <w:rsid w:val="003413C9"/>
    <w:rsid w:val="00341706"/>
    <w:rsid w:val="00341CFA"/>
    <w:rsid w:val="0034246D"/>
    <w:rsid w:val="0034305B"/>
    <w:rsid w:val="00343C24"/>
    <w:rsid w:val="00343FA6"/>
    <w:rsid w:val="00344725"/>
    <w:rsid w:val="00344901"/>
    <w:rsid w:val="0034511B"/>
    <w:rsid w:val="003453BF"/>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FE6"/>
    <w:rsid w:val="003552C6"/>
    <w:rsid w:val="003558FD"/>
    <w:rsid w:val="00355A83"/>
    <w:rsid w:val="00355B77"/>
    <w:rsid w:val="003562D7"/>
    <w:rsid w:val="00356353"/>
    <w:rsid w:val="003567C9"/>
    <w:rsid w:val="00356CEC"/>
    <w:rsid w:val="003572DE"/>
    <w:rsid w:val="00357659"/>
    <w:rsid w:val="00357712"/>
    <w:rsid w:val="00357CAE"/>
    <w:rsid w:val="00360271"/>
    <w:rsid w:val="003604DB"/>
    <w:rsid w:val="003617B5"/>
    <w:rsid w:val="0036185C"/>
    <w:rsid w:val="00361B1A"/>
    <w:rsid w:val="0036227D"/>
    <w:rsid w:val="0036262C"/>
    <w:rsid w:val="00362C5A"/>
    <w:rsid w:val="003635B6"/>
    <w:rsid w:val="0036362F"/>
    <w:rsid w:val="00363FC9"/>
    <w:rsid w:val="00365023"/>
    <w:rsid w:val="00365644"/>
    <w:rsid w:val="0036590C"/>
    <w:rsid w:val="003665C5"/>
    <w:rsid w:val="00366B3A"/>
    <w:rsid w:val="0036707B"/>
    <w:rsid w:val="00370285"/>
    <w:rsid w:val="003704EE"/>
    <w:rsid w:val="00370880"/>
    <w:rsid w:val="00370EFD"/>
    <w:rsid w:val="00371137"/>
    <w:rsid w:val="003711C5"/>
    <w:rsid w:val="00371965"/>
    <w:rsid w:val="003719F5"/>
    <w:rsid w:val="00372019"/>
    <w:rsid w:val="00372029"/>
    <w:rsid w:val="003724A1"/>
    <w:rsid w:val="00372A6B"/>
    <w:rsid w:val="00372C12"/>
    <w:rsid w:val="00372CD9"/>
    <w:rsid w:val="00373B3C"/>
    <w:rsid w:val="00373E10"/>
    <w:rsid w:val="00373F2C"/>
    <w:rsid w:val="0037406C"/>
    <w:rsid w:val="00374191"/>
    <w:rsid w:val="003741D2"/>
    <w:rsid w:val="003744CB"/>
    <w:rsid w:val="0037450B"/>
    <w:rsid w:val="00374804"/>
    <w:rsid w:val="003748F9"/>
    <w:rsid w:val="00374C80"/>
    <w:rsid w:val="00374F06"/>
    <w:rsid w:val="00375222"/>
    <w:rsid w:val="00375FFC"/>
    <w:rsid w:val="003763DA"/>
    <w:rsid w:val="003764FA"/>
    <w:rsid w:val="0037665F"/>
    <w:rsid w:val="00376838"/>
    <w:rsid w:val="00376E0C"/>
    <w:rsid w:val="0037709A"/>
    <w:rsid w:val="00377146"/>
    <w:rsid w:val="003771CA"/>
    <w:rsid w:val="00377397"/>
    <w:rsid w:val="0037757C"/>
    <w:rsid w:val="003775BD"/>
    <w:rsid w:val="003779AC"/>
    <w:rsid w:val="00380543"/>
    <w:rsid w:val="00380602"/>
    <w:rsid w:val="00380892"/>
    <w:rsid w:val="00380BBD"/>
    <w:rsid w:val="00380FF5"/>
    <w:rsid w:val="0038158E"/>
    <w:rsid w:val="003821E7"/>
    <w:rsid w:val="00382903"/>
    <w:rsid w:val="00383D4B"/>
    <w:rsid w:val="00383DDB"/>
    <w:rsid w:val="003842A8"/>
    <w:rsid w:val="00384747"/>
    <w:rsid w:val="003848D9"/>
    <w:rsid w:val="00384BC0"/>
    <w:rsid w:val="00384BD4"/>
    <w:rsid w:val="003852CC"/>
    <w:rsid w:val="00385A70"/>
    <w:rsid w:val="00385BD7"/>
    <w:rsid w:val="00386205"/>
    <w:rsid w:val="00386688"/>
    <w:rsid w:val="00386A15"/>
    <w:rsid w:val="00386B71"/>
    <w:rsid w:val="0038702D"/>
    <w:rsid w:val="003870BC"/>
    <w:rsid w:val="0038732E"/>
    <w:rsid w:val="003875A7"/>
    <w:rsid w:val="00387675"/>
    <w:rsid w:val="00387771"/>
    <w:rsid w:val="0038780F"/>
    <w:rsid w:val="00387866"/>
    <w:rsid w:val="00387868"/>
    <w:rsid w:val="00387B2B"/>
    <w:rsid w:val="00387D4C"/>
    <w:rsid w:val="00390449"/>
    <w:rsid w:val="003904B1"/>
    <w:rsid w:val="003907D2"/>
    <w:rsid w:val="00390C56"/>
    <w:rsid w:val="00390D34"/>
    <w:rsid w:val="0039122C"/>
    <w:rsid w:val="0039124D"/>
    <w:rsid w:val="00391354"/>
    <w:rsid w:val="00391A92"/>
    <w:rsid w:val="00391C99"/>
    <w:rsid w:val="003926BE"/>
    <w:rsid w:val="003929BE"/>
    <w:rsid w:val="003929D3"/>
    <w:rsid w:val="00392A1F"/>
    <w:rsid w:val="00392DB8"/>
    <w:rsid w:val="003933FD"/>
    <w:rsid w:val="00393657"/>
    <w:rsid w:val="00393A68"/>
    <w:rsid w:val="00393B78"/>
    <w:rsid w:val="003946B1"/>
    <w:rsid w:val="00394775"/>
    <w:rsid w:val="00394948"/>
    <w:rsid w:val="00394B44"/>
    <w:rsid w:val="00394D6C"/>
    <w:rsid w:val="0039502C"/>
    <w:rsid w:val="0039511F"/>
    <w:rsid w:val="003956FE"/>
    <w:rsid w:val="0039586B"/>
    <w:rsid w:val="003958F1"/>
    <w:rsid w:val="0039598F"/>
    <w:rsid w:val="00395DB2"/>
    <w:rsid w:val="0039610F"/>
    <w:rsid w:val="003962EC"/>
    <w:rsid w:val="003965AE"/>
    <w:rsid w:val="0039665F"/>
    <w:rsid w:val="00396BBB"/>
    <w:rsid w:val="00397292"/>
    <w:rsid w:val="003976DD"/>
    <w:rsid w:val="003978B8"/>
    <w:rsid w:val="00397AD4"/>
    <w:rsid w:val="00397C89"/>
    <w:rsid w:val="003A0311"/>
    <w:rsid w:val="003A05D5"/>
    <w:rsid w:val="003A0736"/>
    <w:rsid w:val="003A09D3"/>
    <w:rsid w:val="003A0CD4"/>
    <w:rsid w:val="003A0EB2"/>
    <w:rsid w:val="003A1009"/>
    <w:rsid w:val="003A1135"/>
    <w:rsid w:val="003A1341"/>
    <w:rsid w:val="003A17BA"/>
    <w:rsid w:val="003A19E0"/>
    <w:rsid w:val="003A1B5C"/>
    <w:rsid w:val="003A1DD5"/>
    <w:rsid w:val="003A1E6E"/>
    <w:rsid w:val="003A2019"/>
    <w:rsid w:val="003A2389"/>
    <w:rsid w:val="003A2D39"/>
    <w:rsid w:val="003A2FE7"/>
    <w:rsid w:val="003A3452"/>
    <w:rsid w:val="003A349E"/>
    <w:rsid w:val="003A38AC"/>
    <w:rsid w:val="003A3C4B"/>
    <w:rsid w:val="003A42BB"/>
    <w:rsid w:val="003A44AA"/>
    <w:rsid w:val="003A45FB"/>
    <w:rsid w:val="003A48FC"/>
    <w:rsid w:val="003A4A2E"/>
    <w:rsid w:val="003A4CD4"/>
    <w:rsid w:val="003A4E82"/>
    <w:rsid w:val="003A523B"/>
    <w:rsid w:val="003A5865"/>
    <w:rsid w:val="003A590E"/>
    <w:rsid w:val="003A632A"/>
    <w:rsid w:val="003A6330"/>
    <w:rsid w:val="003A6619"/>
    <w:rsid w:val="003A6CC0"/>
    <w:rsid w:val="003A71E1"/>
    <w:rsid w:val="003A76A9"/>
    <w:rsid w:val="003A7747"/>
    <w:rsid w:val="003B0299"/>
    <w:rsid w:val="003B0B4D"/>
    <w:rsid w:val="003B1C34"/>
    <w:rsid w:val="003B2448"/>
    <w:rsid w:val="003B248F"/>
    <w:rsid w:val="003B2B79"/>
    <w:rsid w:val="003B2C70"/>
    <w:rsid w:val="003B3171"/>
    <w:rsid w:val="003B3E56"/>
    <w:rsid w:val="003B4039"/>
    <w:rsid w:val="003B4482"/>
    <w:rsid w:val="003B495C"/>
    <w:rsid w:val="003B4B90"/>
    <w:rsid w:val="003B4D9B"/>
    <w:rsid w:val="003B4E9C"/>
    <w:rsid w:val="003B570F"/>
    <w:rsid w:val="003B5B57"/>
    <w:rsid w:val="003B5B7E"/>
    <w:rsid w:val="003B5BCB"/>
    <w:rsid w:val="003B5E30"/>
    <w:rsid w:val="003B6359"/>
    <w:rsid w:val="003B6FCB"/>
    <w:rsid w:val="003B7020"/>
    <w:rsid w:val="003B7294"/>
    <w:rsid w:val="003B76FE"/>
    <w:rsid w:val="003C009A"/>
    <w:rsid w:val="003C0138"/>
    <w:rsid w:val="003C07D7"/>
    <w:rsid w:val="003C0985"/>
    <w:rsid w:val="003C0E4F"/>
    <w:rsid w:val="003C10B8"/>
    <w:rsid w:val="003C246D"/>
    <w:rsid w:val="003C2C9D"/>
    <w:rsid w:val="003C35BB"/>
    <w:rsid w:val="003C3B73"/>
    <w:rsid w:val="003C3D6E"/>
    <w:rsid w:val="003C3F8B"/>
    <w:rsid w:val="003C4213"/>
    <w:rsid w:val="003C4250"/>
    <w:rsid w:val="003C44DB"/>
    <w:rsid w:val="003C4B1C"/>
    <w:rsid w:val="003C4F25"/>
    <w:rsid w:val="003C64CD"/>
    <w:rsid w:val="003C6580"/>
    <w:rsid w:val="003C6CCB"/>
    <w:rsid w:val="003C6DA9"/>
    <w:rsid w:val="003C7855"/>
    <w:rsid w:val="003D0240"/>
    <w:rsid w:val="003D06A7"/>
    <w:rsid w:val="003D0868"/>
    <w:rsid w:val="003D09DA"/>
    <w:rsid w:val="003D0D75"/>
    <w:rsid w:val="003D1CD0"/>
    <w:rsid w:val="003D1F11"/>
    <w:rsid w:val="003D22AC"/>
    <w:rsid w:val="003D2339"/>
    <w:rsid w:val="003D26AA"/>
    <w:rsid w:val="003D2AB4"/>
    <w:rsid w:val="003D2E43"/>
    <w:rsid w:val="003D3AD8"/>
    <w:rsid w:val="003D3EE3"/>
    <w:rsid w:val="003D4350"/>
    <w:rsid w:val="003D4409"/>
    <w:rsid w:val="003D48C2"/>
    <w:rsid w:val="003D519A"/>
    <w:rsid w:val="003D5717"/>
    <w:rsid w:val="003D5878"/>
    <w:rsid w:val="003D59FE"/>
    <w:rsid w:val="003D63BA"/>
    <w:rsid w:val="003D680E"/>
    <w:rsid w:val="003D69ED"/>
    <w:rsid w:val="003D6B43"/>
    <w:rsid w:val="003D740C"/>
    <w:rsid w:val="003D79E8"/>
    <w:rsid w:val="003E0487"/>
    <w:rsid w:val="003E0622"/>
    <w:rsid w:val="003E089F"/>
    <w:rsid w:val="003E0974"/>
    <w:rsid w:val="003E0ADB"/>
    <w:rsid w:val="003E0CE4"/>
    <w:rsid w:val="003E16FD"/>
    <w:rsid w:val="003E1868"/>
    <w:rsid w:val="003E1B00"/>
    <w:rsid w:val="003E1CF4"/>
    <w:rsid w:val="003E23A4"/>
    <w:rsid w:val="003E27B0"/>
    <w:rsid w:val="003E2818"/>
    <w:rsid w:val="003E2BF4"/>
    <w:rsid w:val="003E300E"/>
    <w:rsid w:val="003E3015"/>
    <w:rsid w:val="003E3524"/>
    <w:rsid w:val="003E37AD"/>
    <w:rsid w:val="003E37FC"/>
    <w:rsid w:val="003E3944"/>
    <w:rsid w:val="003E3B07"/>
    <w:rsid w:val="003E3BF0"/>
    <w:rsid w:val="003E3C5B"/>
    <w:rsid w:val="003E3CA6"/>
    <w:rsid w:val="003E40C9"/>
    <w:rsid w:val="003E416F"/>
    <w:rsid w:val="003E44DC"/>
    <w:rsid w:val="003E4884"/>
    <w:rsid w:val="003E4CDB"/>
    <w:rsid w:val="003E5DD3"/>
    <w:rsid w:val="003E6289"/>
    <w:rsid w:val="003E6592"/>
    <w:rsid w:val="003E679D"/>
    <w:rsid w:val="003E6A3C"/>
    <w:rsid w:val="003E6ED1"/>
    <w:rsid w:val="003E700A"/>
    <w:rsid w:val="003E7313"/>
    <w:rsid w:val="003E73BC"/>
    <w:rsid w:val="003E76BB"/>
    <w:rsid w:val="003E7706"/>
    <w:rsid w:val="003E7C5E"/>
    <w:rsid w:val="003F0077"/>
    <w:rsid w:val="003F0656"/>
    <w:rsid w:val="003F0666"/>
    <w:rsid w:val="003F073C"/>
    <w:rsid w:val="003F0905"/>
    <w:rsid w:val="003F0AF1"/>
    <w:rsid w:val="003F13D9"/>
    <w:rsid w:val="003F148D"/>
    <w:rsid w:val="003F1B6D"/>
    <w:rsid w:val="003F1C93"/>
    <w:rsid w:val="003F1CE5"/>
    <w:rsid w:val="003F1E48"/>
    <w:rsid w:val="003F20B0"/>
    <w:rsid w:val="003F20E2"/>
    <w:rsid w:val="003F2244"/>
    <w:rsid w:val="003F23A7"/>
    <w:rsid w:val="003F2564"/>
    <w:rsid w:val="003F2624"/>
    <w:rsid w:val="003F2711"/>
    <w:rsid w:val="003F2A56"/>
    <w:rsid w:val="003F2A8D"/>
    <w:rsid w:val="003F348A"/>
    <w:rsid w:val="003F4933"/>
    <w:rsid w:val="003F4977"/>
    <w:rsid w:val="003F4A21"/>
    <w:rsid w:val="003F4E1C"/>
    <w:rsid w:val="003F536B"/>
    <w:rsid w:val="003F560A"/>
    <w:rsid w:val="003F586D"/>
    <w:rsid w:val="003F62B4"/>
    <w:rsid w:val="003F62F9"/>
    <w:rsid w:val="003F682D"/>
    <w:rsid w:val="003F6853"/>
    <w:rsid w:val="003F6930"/>
    <w:rsid w:val="003F697D"/>
    <w:rsid w:val="003F6A55"/>
    <w:rsid w:val="003F73A0"/>
    <w:rsid w:val="003F75DD"/>
    <w:rsid w:val="003F7908"/>
    <w:rsid w:val="003F7A7C"/>
    <w:rsid w:val="003F7DFF"/>
    <w:rsid w:val="0040015E"/>
    <w:rsid w:val="00400181"/>
    <w:rsid w:val="004003B0"/>
    <w:rsid w:val="00400400"/>
    <w:rsid w:val="00400427"/>
    <w:rsid w:val="00400615"/>
    <w:rsid w:val="00400AB0"/>
    <w:rsid w:val="00400D86"/>
    <w:rsid w:val="004010EF"/>
    <w:rsid w:val="004017C6"/>
    <w:rsid w:val="00402057"/>
    <w:rsid w:val="004021B5"/>
    <w:rsid w:val="004024AB"/>
    <w:rsid w:val="00402DC4"/>
    <w:rsid w:val="00402F2C"/>
    <w:rsid w:val="0040303D"/>
    <w:rsid w:val="0040360D"/>
    <w:rsid w:val="0040379F"/>
    <w:rsid w:val="00403805"/>
    <w:rsid w:val="00403F25"/>
    <w:rsid w:val="00404011"/>
    <w:rsid w:val="00404707"/>
    <w:rsid w:val="0040495B"/>
    <w:rsid w:val="00404D4D"/>
    <w:rsid w:val="00404FCC"/>
    <w:rsid w:val="00405205"/>
    <w:rsid w:val="00405898"/>
    <w:rsid w:val="00405A9F"/>
    <w:rsid w:val="00405D95"/>
    <w:rsid w:val="00405F90"/>
    <w:rsid w:val="00406108"/>
    <w:rsid w:val="00406412"/>
    <w:rsid w:val="00406589"/>
    <w:rsid w:val="00406D4A"/>
    <w:rsid w:val="00406D9D"/>
    <w:rsid w:val="00406F4B"/>
    <w:rsid w:val="00406FBD"/>
    <w:rsid w:val="004073B0"/>
    <w:rsid w:val="00407612"/>
    <w:rsid w:val="0041029D"/>
    <w:rsid w:val="004102A7"/>
    <w:rsid w:val="00410700"/>
    <w:rsid w:val="00411230"/>
    <w:rsid w:val="00411472"/>
    <w:rsid w:val="00411558"/>
    <w:rsid w:val="004115E3"/>
    <w:rsid w:val="004116C3"/>
    <w:rsid w:val="004118C9"/>
    <w:rsid w:val="00412263"/>
    <w:rsid w:val="0041249C"/>
    <w:rsid w:val="00412697"/>
    <w:rsid w:val="00413369"/>
    <w:rsid w:val="004145AE"/>
    <w:rsid w:val="004147F4"/>
    <w:rsid w:val="00414AB1"/>
    <w:rsid w:val="00414C3F"/>
    <w:rsid w:val="0041539C"/>
    <w:rsid w:val="0041577E"/>
    <w:rsid w:val="004157F6"/>
    <w:rsid w:val="004159D3"/>
    <w:rsid w:val="00415A14"/>
    <w:rsid w:val="00416091"/>
    <w:rsid w:val="0041616C"/>
    <w:rsid w:val="0041634C"/>
    <w:rsid w:val="00416A66"/>
    <w:rsid w:val="00416F3B"/>
    <w:rsid w:val="00417241"/>
    <w:rsid w:val="0041743D"/>
    <w:rsid w:val="004174FC"/>
    <w:rsid w:val="00417678"/>
    <w:rsid w:val="00417D10"/>
    <w:rsid w:val="00420126"/>
    <w:rsid w:val="00420249"/>
    <w:rsid w:val="004203CF"/>
    <w:rsid w:val="00420755"/>
    <w:rsid w:val="00420CB7"/>
    <w:rsid w:val="004213C2"/>
    <w:rsid w:val="004213E8"/>
    <w:rsid w:val="0042156E"/>
    <w:rsid w:val="00421EC6"/>
    <w:rsid w:val="004222BF"/>
    <w:rsid w:val="00422A01"/>
    <w:rsid w:val="00422D62"/>
    <w:rsid w:val="00422DB5"/>
    <w:rsid w:val="004232D4"/>
    <w:rsid w:val="00423326"/>
    <w:rsid w:val="0042408B"/>
    <w:rsid w:val="004241DA"/>
    <w:rsid w:val="00424844"/>
    <w:rsid w:val="0042484B"/>
    <w:rsid w:val="004251F8"/>
    <w:rsid w:val="004253B1"/>
    <w:rsid w:val="00425C97"/>
    <w:rsid w:val="00425E42"/>
    <w:rsid w:val="00425FFD"/>
    <w:rsid w:val="004262F8"/>
    <w:rsid w:val="00426442"/>
    <w:rsid w:val="0042654A"/>
    <w:rsid w:val="00426A93"/>
    <w:rsid w:val="00426D1A"/>
    <w:rsid w:val="00426DFA"/>
    <w:rsid w:val="004272ED"/>
    <w:rsid w:val="004276E3"/>
    <w:rsid w:val="00427B9D"/>
    <w:rsid w:val="00427BFB"/>
    <w:rsid w:val="00427E67"/>
    <w:rsid w:val="00430178"/>
    <w:rsid w:val="004303B3"/>
    <w:rsid w:val="0043042C"/>
    <w:rsid w:val="00430495"/>
    <w:rsid w:val="0043063B"/>
    <w:rsid w:val="00430733"/>
    <w:rsid w:val="00430D78"/>
    <w:rsid w:val="00431149"/>
    <w:rsid w:val="0043189C"/>
    <w:rsid w:val="004318FF"/>
    <w:rsid w:val="00431CB1"/>
    <w:rsid w:val="00431DB5"/>
    <w:rsid w:val="0043270B"/>
    <w:rsid w:val="00432780"/>
    <w:rsid w:val="00432B83"/>
    <w:rsid w:val="00432F8F"/>
    <w:rsid w:val="00432F9E"/>
    <w:rsid w:val="00433106"/>
    <w:rsid w:val="0043359F"/>
    <w:rsid w:val="00433D8A"/>
    <w:rsid w:val="00434066"/>
    <w:rsid w:val="00434754"/>
    <w:rsid w:val="0043480E"/>
    <w:rsid w:val="00434C24"/>
    <w:rsid w:val="00434D46"/>
    <w:rsid w:val="00435235"/>
    <w:rsid w:val="00435248"/>
    <w:rsid w:val="0043542F"/>
    <w:rsid w:val="004355EB"/>
    <w:rsid w:val="00435602"/>
    <w:rsid w:val="004356FA"/>
    <w:rsid w:val="004358F4"/>
    <w:rsid w:val="00435CCF"/>
    <w:rsid w:val="00436696"/>
    <w:rsid w:val="00436A3B"/>
    <w:rsid w:val="00436D7C"/>
    <w:rsid w:val="004371AB"/>
    <w:rsid w:val="00437895"/>
    <w:rsid w:val="00437E77"/>
    <w:rsid w:val="004402A7"/>
    <w:rsid w:val="0044035D"/>
    <w:rsid w:val="00440850"/>
    <w:rsid w:val="00440EA5"/>
    <w:rsid w:val="0044142F"/>
    <w:rsid w:val="0044173B"/>
    <w:rsid w:val="004425C2"/>
    <w:rsid w:val="004426FE"/>
    <w:rsid w:val="00442824"/>
    <w:rsid w:val="00442FFB"/>
    <w:rsid w:val="004430FD"/>
    <w:rsid w:val="00443586"/>
    <w:rsid w:val="004435E2"/>
    <w:rsid w:val="004439AB"/>
    <w:rsid w:val="00443A73"/>
    <w:rsid w:val="00443BC9"/>
    <w:rsid w:val="004442A7"/>
    <w:rsid w:val="00444741"/>
    <w:rsid w:val="00444901"/>
    <w:rsid w:val="00444934"/>
    <w:rsid w:val="00444982"/>
    <w:rsid w:val="00444F5E"/>
    <w:rsid w:val="00445513"/>
    <w:rsid w:val="00445625"/>
    <w:rsid w:val="00445907"/>
    <w:rsid w:val="0044596D"/>
    <w:rsid w:val="00445CFF"/>
    <w:rsid w:val="00445FB3"/>
    <w:rsid w:val="004462AF"/>
    <w:rsid w:val="00446424"/>
    <w:rsid w:val="0044662A"/>
    <w:rsid w:val="004478FA"/>
    <w:rsid w:val="00447FB0"/>
    <w:rsid w:val="004503F9"/>
    <w:rsid w:val="00450778"/>
    <w:rsid w:val="00450D3B"/>
    <w:rsid w:val="0045169D"/>
    <w:rsid w:val="004518D5"/>
    <w:rsid w:val="00451B06"/>
    <w:rsid w:val="00451BEB"/>
    <w:rsid w:val="004520FE"/>
    <w:rsid w:val="004527C0"/>
    <w:rsid w:val="00452D50"/>
    <w:rsid w:val="00453871"/>
    <w:rsid w:val="00453980"/>
    <w:rsid w:val="00453BB4"/>
    <w:rsid w:val="00453DEF"/>
    <w:rsid w:val="004540AC"/>
    <w:rsid w:val="004543E4"/>
    <w:rsid w:val="004548E5"/>
    <w:rsid w:val="00454ACD"/>
    <w:rsid w:val="00454F08"/>
    <w:rsid w:val="00454F85"/>
    <w:rsid w:val="00455105"/>
    <w:rsid w:val="00455E20"/>
    <w:rsid w:val="00456114"/>
    <w:rsid w:val="0045623E"/>
    <w:rsid w:val="00456406"/>
    <w:rsid w:val="00456971"/>
    <w:rsid w:val="00456AC7"/>
    <w:rsid w:val="0045742D"/>
    <w:rsid w:val="00457C5E"/>
    <w:rsid w:val="0046026D"/>
    <w:rsid w:val="0046027A"/>
    <w:rsid w:val="00460535"/>
    <w:rsid w:val="004605CC"/>
    <w:rsid w:val="0046072D"/>
    <w:rsid w:val="00460921"/>
    <w:rsid w:val="00460958"/>
    <w:rsid w:val="00460DF0"/>
    <w:rsid w:val="0046110A"/>
    <w:rsid w:val="004612C8"/>
    <w:rsid w:val="0046136B"/>
    <w:rsid w:val="004614A1"/>
    <w:rsid w:val="0046164D"/>
    <w:rsid w:val="004616E5"/>
    <w:rsid w:val="004616FF"/>
    <w:rsid w:val="0046194F"/>
    <w:rsid w:val="00461C00"/>
    <w:rsid w:val="004622A1"/>
    <w:rsid w:val="004622D0"/>
    <w:rsid w:val="00462420"/>
    <w:rsid w:val="0046260A"/>
    <w:rsid w:val="0046287B"/>
    <w:rsid w:val="00462B09"/>
    <w:rsid w:val="00462B31"/>
    <w:rsid w:val="004630D5"/>
    <w:rsid w:val="00463337"/>
    <w:rsid w:val="00463448"/>
    <w:rsid w:val="004636FA"/>
    <w:rsid w:val="00463F17"/>
    <w:rsid w:val="0046400B"/>
    <w:rsid w:val="004641A0"/>
    <w:rsid w:val="0046434B"/>
    <w:rsid w:val="00464A82"/>
    <w:rsid w:val="00464EE0"/>
    <w:rsid w:val="00465158"/>
    <w:rsid w:val="00465180"/>
    <w:rsid w:val="00465235"/>
    <w:rsid w:val="00465467"/>
    <w:rsid w:val="00465573"/>
    <w:rsid w:val="00465A81"/>
    <w:rsid w:val="00465EB3"/>
    <w:rsid w:val="0047041E"/>
    <w:rsid w:val="0047045E"/>
    <w:rsid w:val="00470628"/>
    <w:rsid w:val="00470750"/>
    <w:rsid w:val="00470893"/>
    <w:rsid w:val="00470A49"/>
    <w:rsid w:val="0047166D"/>
    <w:rsid w:val="00471856"/>
    <w:rsid w:val="00471DB0"/>
    <w:rsid w:val="00471FAB"/>
    <w:rsid w:val="0047253B"/>
    <w:rsid w:val="00472ACB"/>
    <w:rsid w:val="004735E8"/>
    <w:rsid w:val="004737D3"/>
    <w:rsid w:val="00473F5F"/>
    <w:rsid w:val="0047410D"/>
    <w:rsid w:val="0047475B"/>
    <w:rsid w:val="00475260"/>
    <w:rsid w:val="0047539C"/>
    <w:rsid w:val="004753D8"/>
    <w:rsid w:val="004755D5"/>
    <w:rsid w:val="00475674"/>
    <w:rsid w:val="00475BC8"/>
    <w:rsid w:val="00475D13"/>
    <w:rsid w:val="00475E50"/>
    <w:rsid w:val="00475E54"/>
    <w:rsid w:val="00475F90"/>
    <w:rsid w:val="00476549"/>
    <w:rsid w:val="00476D14"/>
    <w:rsid w:val="00476D8B"/>
    <w:rsid w:val="00476E27"/>
    <w:rsid w:val="00476E98"/>
    <w:rsid w:val="00476EAE"/>
    <w:rsid w:val="004774C5"/>
    <w:rsid w:val="004775ED"/>
    <w:rsid w:val="004778C0"/>
    <w:rsid w:val="00477B60"/>
    <w:rsid w:val="0048032D"/>
    <w:rsid w:val="00480B03"/>
    <w:rsid w:val="00480C70"/>
    <w:rsid w:val="00480CC5"/>
    <w:rsid w:val="004810EC"/>
    <w:rsid w:val="0048129B"/>
    <w:rsid w:val="00481607"/>
    <w:rsid w:val="00481611"/>
    <w:rsid w:val="004818FF"/>
    <w:rsid w:val="0048215F"/>
    <w:rsid w:val="00482389"/>
    <w:rsid w:val="00482943"/>
    <w:rsid w:val="00482ADC"/>
    <w:rsid w:val="00482C93"/>
    <w:rsid w:val="00482F79"/>
    <w:rsid w:val="00483269"/>
    <w:rsid w:val="00483641"/>
    <w:rsid w:val="00483D11"/>
    <w:rsid w:val="00483D20"/>
    <w:rsid w:val="00483F8D"/>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900B3"/>
    <w:rsid w:val="00490185"/>
    <w:rsid w:val="00490532"/>
    <w:rsid w:val="00490649"/>
    <w:rsid w:val="0049093B"/>
    <w:rsid w:val="00490E94"/>
    <w:rsid w:val="00490EE3"/>
    <w:rsid w:val="004911FB"/>
    <w:rsid w:val="00491294"/>
    <w:rsid w:val="0049143D"/>
    <w:rsid w:val="004917C1"/>
    <w:rsid w:val="004918A0"/>
    <w:rsid w:val="004924E5"/>
    <w:rsid w:val="00492597"/>
    <w:rsid w:val="00492619"/>
    <w:rsid w:val="004927F3"/>
    <w:rsid w:val="00492C2F"/>
    <w:rsid w:val="0049349F"/>
    <w:rsid w:val="004935A4"/>
    <w:rsid w:val="004938AA"/>
    <w:rsid w:val="00493D08"/>
    <w:rsid w:val="004949D8"/>
    <w:rsid w:val="00494E75"/>
    <w:rsid w:val="00495071"/>
    <w:rsid w:val="004961DB"/>
    <w:rsid w:val="0049653E"/>
    <w:rsid w:val="00496BEF"/>
    <w:rsid w:val="00496DC2"/>
    <w:rsid w:val="00496E38"/>
    <w:rsid w:val="00497C03"/>
    <w:rsid w:val="004A01E1"/>
    <w:rsid w:val="004A0E00"/>
    <w:rsid w:val="004A15F7"/>
    <w:rsid w:val="004A1600"/>
    <w:rsid w:val="004A1AE5"/>
    <w:rsid w:val="004A1C63"/>
    <w:rsid w:val="004A1DAA"/>
    <w:rsid w:val="004A201F"/>
    <w:rsid w:val="004A23B8"/>
    <w:rsid w:val="004A23C0"/>
    <w:rsid w:val="004A28D4"/>
    <w:rsid w:val="004A2908"/>
    <w:rsid w:val="004A2A24"/>
    <w:rsid w:val="004A2BE1"/>
    <w:rsid w:val="004A2E44"/>
    <w:rsid w:val="004A30BF"/>
    <w:rsid w:val="004A328E"/>
    <w:rsid w:val="004A32C1"/>
    <w:rsid w:val="004A366E"/>
    <w:rsid w:val="004A36C0"/>
    <w:rsid w:val="004A3AA3"/>
    <w:rsid w:val="004A3CB9"/>
    <w:rsid w:val="004A4214"/>
    <w:rsid w:val="004A4625"/>
    <w:rsid w:val="004A4900"/>
    <w:rsid w:val="004A4D38"/>
    <w:rsid w:val="004A4E7E"/>
    <w:rsid w:val="004A4E95"/>
    <w:rsid w:val="004A4EB4"/>
    <w:rsid w:val="004A51FA"/>
    <w:rsid w:val="004A5270"/>
    <w:rsid w:val="004A57FC"/>
    <w:rsid w:val="004A5D36"/>
    <w:rsid w:val="004A705C"/>
    <w:rsid w:val="004A7172"/>
    <w:rsid w:val="004A7276"/>
    <w:rsid w:val="004A746B"/>
    <w:rsid w:val="004A770C"/>
    <w:rsid w:val="004A7C0D"/>
    <w:rsid w:val="004A7EE7"/>
    <w:rsid w:val="004A7FB0"/>
    <w:rsid w:val="004B0706"/>
    <w:rsid w:val="004B0780"/>
    <w:rsid w:val="004B0787"/>
    <w:rsid w:val="004B1313"/>
    <w:rsid w:val="004B169E"/>
    <w:rsid w:val="004B19BB"/>
    <w:rsid w:val="004B1C42"/>
    <w:rsid w:val="004B24DB"/>
    <w:rsid w:val="004B269E"/>
    <w:rsid w:val="004B2700"/>
    <w:rsid w:val="004B2B31"/>
    <w:rsid w:val="004B2C33"/>
    <w:rsid w:val="004B2CDB"/>
    <w:rsid w:val="004B2DE8"/>
    <w:rsid w:val="004B2F6E"/>
    <w:rsid w:val="004B3C3F"/>
    <w:rsid w:val="004B45A2"/>
    <w:rsid w:val="004B46C3"/>
    <w:rsid w:val="004B4789"/>
    <w:rsid w:val="004B4A0F"/>
    <w:rsid w:val="004B4F6B"/>
    <w:rsid w:val="004B50E0"/>
    <w:rsid w:val="004B50E8"/>
    <w:rsid w:val="004B55EC"/>
    <w:rsid w:val="004B6301"/>
    <w:rsid w:val="004B6C13"/>
    <w:rsid w:val="004B6FFB"/>
    <w:rsid w:val="004B7311"/>
    <w:rsid w:val="004B795F"/>
    <w:rsid w:val="004B7BA5"/>
    <w:rsid w:val="004C0346"/>
    <w:rsid w:val="004C0B5B"/>
    <w:rsid w:val="004C0B9A"/>
    <w:rsid w:val="004C0C5C"/>
    <w:rsid w:val="004C0F99"/>
    <w:rsid w:val="004C130D"/>
    <w:rsid w:val="004C1624"/>
    <w:rsid w:val="004C18BF"/>
    <w:rsid w:val="004C18E0"/>
    <w:rsid w:val="004C19E4"/>
    <w:rsid w:val="004C2371"/>
    <w:rsid w:val="004C2F01"/>
    <w:rsid w:val="004C3472"/>
    <w:rsid w:val="004C34E8"/>
    <w:rsid w:val="004C3AD1"/>
    <w:rsid w:val="004C3C51"/>
    <w:rsid w:val="004C47FE"/>
    <w:rsid w:val="004C4B36"/>
    <w:rsid w:val="004C4BCE"/>
    <w:rsid w:val="004C4BF3"/>
    <w:rsid w:val="004C4F33"/>
    <w:rsid w:val="004C521E"/>
    <w:rsid w:val="004C5283"/>
    <w:rsid w:val="004C566C"/>
    <w:rsid w:val="004C5C44"/>
    <w:rsid w:val="004C5EF0"/>
    <w:rsid w:val="004C63D6"/>
    <w:rsid w:val="004C660B"/>
    <w:rsid w:val="004C730E"/>
    <w:rsid w:val="004C7739"/>
    <w:rsid w:val="004C7BDF"/>
    <w:rsid w:val="004D0328"/>
    <w:rsid w:val="004D0E42"/>
    <w:rsid w:val="004D0FA5"/>
    <w:rsid w:val="004D1059"/>
    <w:rsid w:val="004D17E6"/>
    <w:rsid w:val="004D1A33"/>
    <w:rsid w:val="004D1C2E"/>
    <w:rsid w:val="004D1C35"/>
    <w:rsid w:val="004D1D64"/>
    <w:rsid w:val="004D1DBB"/>
    <w:rsid w:val="004D1F7A"/>
    <w:rsid w:val="004D2474"/>
    <w:rsid w:val="004D27C4"/>
    <w:rsid w:val="004D2E57"/>
    <w:rsid w:val="004D30AD"/>
    <w:rsid w:val="004D3251"/>
    <w:rsid w:val="004D3403"/>
    <w:rsid w:val="004D39CA"/>
    <w:rsid w:val="004D40D5"/>
    <w:rsid w:val="004D4797"/>
    <w:rsid w:val="004D4968"/>
    <w:rsid w:val="004D4A8A"/>
    <w:rsid w:val="004D4ABF"/>
    <w:rsid w:val="004D50CC"/>
    <w:rsid w:val="004D58D1"/>
    <w:rsid w:val="004D5C87"/>
    <w:rsid w:val="004D5F02"/>
    <w:rsid w:val="004D602D"/>
    <w:rsid w:val="004D6115"/>
    <w:rsid w:val="004D65BA"/>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71C"/>
    <w:rsid w:val="004E4EF1"/>
    <w:rsid w:val="004E524E"/>
    <w:rsid w:val="004E53AE"/>
    <w:rsid w:val="004E5449"/>
    <w:rsid w:val="004E5710"/>
    <w:rsid w:val="004E5788"/>
    <w:rsid w:val="004E5C61"/>
    <w:rsid w:val="004E6158"/>
    <w:rsid w:val="004E6184"/>
    <w:rsid w:val="004E6463"/>
    <w:rsid w:val="004E6CEA"/>
    <w:rsid w:val="004E6EAC"/>
    <w:rsid w:val="004E6F18"/>
    <w:rsid w:val="004E76A5"/>
    <w:rsid w:val="004E7B18"/>
    <w:rsid w:val="004E7B7F"/>
    <w:rsid w:val="004E7C11"/>
    <w:rsid w:val="004E7C85"/>
    <w:rsid w:val="004F01B4"/>
    <w:rsid w:val="004F020A"/>
    <w:rsid w:val="004F02AB"/>
    <w:rsid w:val="004F131A"/>
    <w:rsid w:val="004F133C"/>
    <w:rsid w:val="004F13D2"/>
    <w:rsid w:val="004F1443"/>
    <w:rsid w:val="004F152A"/>
    <w:rsid w:val="004F1633"/>
    <w:rsid w:val="004F180E"/>
    <w:rsid w:val="004F18ED"/>
    <w:rsid w:val="004F1A00"/>
    <w:rsid w:val="004F1AEF"/>
    <w:rsid w:val="004F20AA"/>
    <w:rsid w:val="004F2826"/>
    <w:rsid w:val="004F2AA6"/>
    <w:rsid w:val="004F2B9C"/>
    <w:rsid w:val="004F2CCE"/>
    <w:rsid w:val="004F304B"/>
    <w:rsid w:val="004F3368"/>
    <w:rsid w:val="004F3546"/>
    <w:rsid w:val="004F359A"/>
    <w:rsid w:val="004F3DD1"/>
    <w:rsid w:val="004F4E53"/>
    <w:rsid w:val="004F58AB"/>
    <w:rsid w:val="004F5D4A"/>
    <w:rsid w:val="004F5D6E"/>
    <w:rsid w:val="004F5EBB"/>
    <w:rsid w:val="004F6142"/>
    <w:rsid w:val="004F6AFE"/>
    <w:rsid w:val="004F6F20"/>
    <w:rsid w:val="004F735F"/>
    <w:rsid w:val="004F7373"/>
    <w:rsid w:val="004F73A5"/>
    <w:rsid w:val="004F76A6"/>
    <w:rsid w:val="004F7C51"/>
    <w:rsid w:val="004F7F1A"/>
    <w:rsid w:val="0050031C"/>
    <w:rsid w:val="005004F7"/>
    <w:rsid w:val="00500798"/>
    <w:rsid w:val="005007E7"/>
    <w:rsid w:val="00500946"/>
    <w:rsid w:val="00500A59"/>
    <w:rsid w:val="0050132F"/>
    <w:rsid w:val="00501723"/>
    <w:rsid w:val="00501A8C"/>
    <w:rsid w:val="00501D6C"/>
    <w:rsid w:val="00501F0D"/>
    <w:rsid w:val="005023DC"/>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0E7"/>
    <w:rsid w:val="00505533"/>
    <w:rsid w:val="005055D4"/>
    <w:rsid w:val="005057FB"/>
    <w:rsid w:val="00505A2A"/>
    <w:rsid w:val="00505B7C"/>
    <w:rsid w:val="00505E28"/>
    <w:rsid w:val="00505E39"/>
    <w:rsid w:val="0050614B"/>
    <w:rsid w:val="005063A6"/>
    <w:rsid w:val="005064CB"/>
    <w:rsid w:val="00506571"/>
    <w:rsid w:val="0050680A"/>
    <w:rsid w:val="0050685C"/>
    <w:rsid w:val="005068F0"/>
    <w:rsid w:val="00506A8D"/>
    <w:rsid w:val="00506B00"/>
    <w:rsid w:val="00506C2E"/>
    <w:rsid w:val="00506D5A"/>
    <w:rsid w:val="005074C9"/>
    <w:rsid w:val="00507754"/>
    <w:rsid w:val="00507CAF"/>
    <w:rsid w:val="00510374"/>
    <w:rsid w:val="00510444"/>
    <w:rsid w:val="00510626"/>
    <w:rsid w:val="00510CE2"/>
    <w:rsid w:val="00511599"/>
    <w:rsid w:val="005119D6"/>
    <w:rsid w:val="00511E67"/>
    <w:rsid w:val="005126FC"/>
    <w:rsid w:val="00512747"/>
    <w:rsid w:val="00512A7B"/>
    <w:rsid w:val="00512D39"/>
    <w:rsid w:val="00513B8C"/>
    <w:rsid w:val="00513F8F"/>
    <w:rsid w:val="005147E7"/>
    <w:rsid w:val="005149A2"/>
    <w:rsid w:val="00514CEE"/>
    <w:rsid w:val="005150E4"/>
    <w:rsid w:val="0051548D"/>
    <w:rsid w:val="00515507"/>
    <w:rsid w:val="00515708"/>
    <w:rsid w:val="00515746"/>
    <w:rsid w:val="00515907"/>
    <w:rsid w:val="00515E2B"/>
    <w:rsid w:val="00516B96"/>
    <w:rsid w:val="00516E9E"/>
    <w:rsid w:val="00516EB8"/>
    <w:rsid w:val="005173A4"/>
    <w:rsid w:val="005179DC"/>
    <w:rsid w:val="0052001B"/>
    <w:rsid w:val="00520518"/>
    <w:rsid w:val="00520AE3"/>
    <w:rsid w:val="00521294"/>
    <w:rsid w:val="0052173F"/>
    <w:rsid w:val="00521B34"/>
    <w:rsid w:val="00521D65"/>
    <w:rsid w:val="005221A4"/>
    <w:rsid w:val="00523366"/>
    <w:rsid w:val="0052381F"/>
    <w:rsid w:val="00523E18"/>
    <w:rsid w:val="00523F32"/>
    <w:rsid w:val="0052422C"/>
    <w:rsid w:val="005242C4"/>
    <w:rsid w:val="005244D5"/>
    <w:rsid w:val="00524AD1"/>
    <w:rsid w:val="00524AE9"/>
    <w:rsid w:val="00524E6A"/>
    <w:rsid w:val="005251DA"/>
    <w:rsid w:val="00525407"/>
    <w:rsid w:val="00525936"/>
    <w:rsid w:val="00525F71"/>
    <w:rsid w:val="00526270"/>
    <w:rsid w:val="005269C2"/>
    <w:rsid w:val="00526A5E"/>
    <w:rsid w:val="00526C8A"/>
    <w:rsid w:val="005272A8"/>
    <w:rsid w:val="00527489"/>
    <w:rsid w:val="00527860"/>
    <w:rsid w:val="00527A58"/>
    <w:rsid w:val="0053012B"/>
    <w:rsid w:val="0053037A"/>
    <w:rsid w:val="0053066C"/>
    <w:rsid w:val="005306C5"/>
    <w:rsid w:val="00530AFD"/>
    <w:rsid w:val="00531562"/>
    <w:rsid w:val="0053173A"/>
    <w:rsid w:val="00531824"/>
    <w:rsid w:val="00531AF4"/>
    <w:rsid w:val="00531EA2"/>
    <w:rsid w:val="00531F71"/>
    <w:rsid w:val="00532292"/>
    <w:rsid w:val="00532462"/>
    <w:rsid w:val="0053268B"/>
    <w:rsid w:val="005328D8"/>
    <w:rsid w:val="00532B16"/>
    <w:rsid w:val="00532C9D"/>
    <w:rsid w:val="00533215"/>
    <w:rsid w:val="00533425"/>
    <w:rsid w:val="005334E4"/>
    <w:rsid w:val="00533C61"/>
    <w:rsid w:val="00533F4E"/>
    <w:rsid w:val="00534699"/>
    <w:rsid w:val="005347FB"/>
    <w:rsid w:val="00534963"/>
    <w:rsid w:val="005349EB"/>
    <w:rsid w:val="00534AA6"/>
    <w:rsid w:val="00534C83"/>
    <w:rsid w:val="00534EE4"/>
    <w:rsid w:val="00535A27"/>
    <w:rsid w:val="00535B60"/>
    <w:rsid w:val="00536195"/>
    <w:rsid w:val="00536AEE"/>
    <w:rsid w:val="00536D47"/>
    <w:rsid w:val="00537092"/>
    <w:rsid w:val="00537640"/>
    <w:rsid w:val="00537989"/>
    <w:rsid w:val="00537BE9"/>
    <w:rsid w:val="00540055"/>
    <w:rsid w:val="00540147"/>
    <w:rsid w:val="00540725"/>
    <w:rsid w:val="005408AA"/>
    <w:rsid w:val="00540C7A"/>
    <w:rsid w:val="005417A0"/>
    <w:rsid w:val="0054183A"/>
    <w:rsid w:val="00541D0D"/>
    <w:rsid w:val="00541E2B"/>
    <w:rsid w:val="0054340E"/>
    <w:rsid w:val="0054348B"/>
    <w:rsid w:val="005436D7"/>
    <w:rsid w:val="00543703"/>
    <w:rsid w:val="00543A06"/>
    <w:rsid w:val="00543A66"/>
    <w:rsid w:val="00543A83"/>
    <w:rsid w:val="00543B1F"/>
    <w:rsid w:val="00543FA3"/>
    <w:rsid w:val="00544899"/>
    <w:rsid w:val="005452C0"/>
    <w:rsid w:val="0054556F"/>
    <w:rsid w:val="005456AD"/>
    <w:rsid w:val="00545C3D"/>
    <w:rsid w:val="00545E6A"/>
    <w:rsid w:val="00546310"/>
    <w:rsid w:val="00546738"/>
    <w:rsid w:val="005467D6"/>
    <w:rsid w:val="00546942"/>
    <w:rsid w:val="00546CDA"/>
    <w:rsid w:val="00546D63"/>
    <w:rsid w:val="005471A3"/>
    <w:rsid w:val="00547D9B"/>
    <w:rsid w:val="00547F14"/>
    <w:rsid w:val="0055088A"/>
    <w:rsid w:val="00550D6F"/>
    <w:rsid w:val="005511B1"/>
    <w:rsid w:val="00551248"/>
    <w:rsid w:val="00551483"/>
    <w:rsid w:val="0055157F"/>
    <w:rsid w:val="00551593"/>
    <w:rsid w:val="00551E52"/>
    <w:rsid w:val="00552038"/>
    <w:rsid w:val="0055233E"/>
    <w:rsid w:val="00552569"/>
    <w:rsid w:val="005528E1"/>
    <w:rsid w:val="00552E20"/>
    <w:rsid w:val="00552FF4"/>
    <w:rsid w:val="00553777"/>
    <w:rsid w:val="00553A48"/>
    <w:rsid w:val="00553ABB"/>
    <w:rsid w:val="0055410A"/>
    <w:rsid w:val="005546A4"/>
    <w:rsid w:val="005547CB"/>
    <w:rsid w:val="00554DF7"/>
    <w:rsid w:val="005552B9"/>
    <w:rsid w:val="00555520"/>
    <w:rsid w:val="00555713"/>
    <w:rsid w:val="00555772"/>
    <w:rsid w:val="00555A5C"/>
    <w:rsid w:val="00555D6F"/>
    <w:rsid w:val="00556680"/>
    <w:rsid w:val="005567BF"/>
    <w:rsid w:val="005569D2"/>
    <w:rsid w:val="00556CA4"/>
    <w:rsid w:val="005570E7"/>
    <w:rsid w:val="0055718D"/>
    <w:rsid w:val="00557464"/>
    <w:rsid w:val="0055771C"/>
    <w:rsid w:val="00557A2C"/>
    <w:rsid w:val="00557CAB"/>
    <w:rsid w:val="00557D87"/>
    <w:rsid w:val="00557EE4"/>
    <w:rsid w:val="00560AC9"/>
    <w:rsid w:val="00561250"/>
    <w:rsid w:val="0056134D"/>
    <w:rsid w:val="00561A95"/>
    <w:rsid w:val="00561BF6"/>
    <w:rsid w:val="00562757"/>
    <w:rsid w:val="005627C0"/>
    <w:rsid w:val="00562CDC"/>
    <w:rsid w:val="00563FD2"/>
    <w:rsid w:val="0056434D"/>
    <w:rsid w:val="00564597"/>
    <w:rsid w:val="00564EB9"/>
    <w:rsid w:val="00564ED1"/>
    <w:rsid w:val="00565321"/>
    <w:rsid w:val="00566C25"/>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0EF6"/>
    <w:rsid w:val="00571358"/>
    <w:rsid w:val="00571382"/>
    <w:rsid w:val="005713EF"/>
    <w:rsid w:val="0057195D"/>
    <w:rsid w:val="005719F4"/>
    <w:rsid w:val="00571B71"/>
    <w:rsid w:val="0057229E"/>
    <w:rsid w:val="00572583"/>
    <w:rsid w:val="00572643"/>
    <w:rsid w:val="00572995"/>
    <w:rsid w:val="005729A6"/>
    <w:rsid w:val="00572F26"/>
    <w:rsid w:val="005730FF"/>
    <w:rsid w:val="0057380A"/>
    <w:rsid w:val="00573BB0"/>
    <w:rsid w:val="00573D2B"/>
    <w:rsid w:val="00573F24"/>
    <w:rsid w:val="00574167"/>
    <w:rsid w:val="00574D14"/>
    <w:rsid w:val="00574FDC"/>
    <w:rsid w:val="005753CA"/>
    <w:rsid w:val="005753DB"/>
    <w:rsid w:val="005756BD"/>
    <w:rsid w:val="00575E09"/>
    <w:rsid w:val="005760C5"/>
    <w:rsid w:val="0057621D"/>
    <w:rsid w:val="005766EA"/>
    <w:rsid w:val="00576903"/>
    <w:rsid w:val="00576A37"/>
    <w:rsid w:val="00577368"/>
    <w:rsid w:val="005773FF"/>
    <w:rsid w:val="00577540"/>
    <w:rsid w:val="005777AC"/>
    <w:rsid w:val="00577E83"/>
    <w:rsid w:val="00577EB4"/>
    <w:rsid w:val="00580F52"/>
    <w:rsid w:val="00581081"/>
    <w:rsid w:val="005815D2"/>
    <w:rsid w:val="00581818"/>
    <w:rsid w:val="005818D4"/>
    <w:rsid w:val="005819D7"/>
    <w:rsid w:val="00581AB8"/>
    <w:rsid w:val="00581C6E"/>
    <w:rsid w:val="00581F40"/>
    <w:rsid w:val="005829CC"/>
    <w:rsid w:val="00582E3D"/>
    <w:rsid w:val="00583147"/>
    <w:rsid w:val="005836D0"/>
    <w:rsid w:val="005838C8"/>
    <w:rsid w:val="00583DEF"/>
    <w:rsid w:val="00583E78"/>
    <w:rsid w:val="00584496"/>
    <w:rsid w:val="00584AA2"/>
    <w:rsid w:val="005852AA"/>
    <w:rsid w:val="00585867"/>
    <w:rsid w:val="00585C3A"/>
    <w:rsid w:val="00586013"/>
    <w:rsid w:val="00586182"/>
    <w:rsid w:val="0058628A"/>
    <w:rsid w:val="00586B34"/>
    <w:rsid w:val="00587117"/>
    <w:rsid w:val="0058759B"/>
    <w:rsid w:val="0058764D"/>
    <w:rsid w:val="005909AD"/>
    <w:rsid w:val="00590BF6"/>
    <w:rsid w:val="00591B9C"/>
    <w:rsid w:val="00591C29"/>
    <w:rsid w:val="00592160"/>
    <w:rsid w:val="005923C9"/>
    <w:rsid w:val="00592630"/>
    <w:rsid w:val="0059284F"/>
    <w:rsid w:val="00592E68"/>
    <w:rsid w:val="0059323A"/>
    <w:rsid w:val="00593447"/>
    <w:rsid w:val="00594131"/>
    <w:rsid w:val="005943C6"/>
    <w:rsid w:val="005946E2"/>
    <w:rsid w:val="0059478F"/>
    <w:rsid w:val="0059486C"/>
    <w:rsid w:val="00595308"/>
    <w:rsid w:val="00595777"/>
    <w:rsid w:val="005959F7"/>
    <w:rsid w:val="00595DA2"/>
    <w:rsid w:val="00595E51"/>
    <w:rsid w:val="00595E99"/>
    <w:rsid w:val="00596308"/>
    <w:rsid w:val="0059634D"/>
    <w:rsid w:val="005968C4"/>
    <w:rsid w:val="00596C01"/>
    <w:rsid w:val="0059715B"/>
    <w:rsid w:val="00597605"/>
    <w:rsid w:val="005978AF"/>
    <w:rsid w:val="00597A36"/>
    <w:rsid w:val="00597DF6"/>
    <w:rsid w:val="00597FAA"/>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3A4"/>
    <w:rsid w:val="005A54DF"/>
    <w:rsid w:val="005A588D"/>
    <w:rsid w:val="005A59CF"/>
    <w:rsid w:val="005A6223"/>
    <w:rsid w:val="005A6A3A"/>
    <w:rsid w:val="005A6E87"/>
    <w:rsid w:val="005A7F72"/>
    <w:rsid w:val="005B0424"/>
    <w:rsid w:val="005B05DB"/>
    <w:rsid w:val="005B0A7D"/>
    <w:rsid w:val="005B0F18"/>
    <w:rsid w:val="005B1197"/>
    <w:rsid w:val="005B16CC"/>
    <w:rsid w:val="005B18BB"/>
    <w:rsid w:val="005B2899"/>
    <w:rsid w:val="005B2DA2"/>
    <w:rsid w:val="005B2EB8"/>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824"/>
    <w:rsid w:val="005B7A4C"/>
    <w:rsid w:val="005B7A5C"/>
    <w:rsid w:val="005C001C"/>
    <w:rsid w:val="005C01BD"/>
    <w:rsid w:val="005C0625"/>
    <w:rsid w:val="005C0904"/>
    <w:rsid w:val="005C09BF"/>
    <w:rsid w:val="005C0B24"/>
    <w:rsid w:val="005C0D61"/>
    <w:rsid w:val="005C0DDE"/>
    <w:rsid w:val="005C1225"/>
    <w:rsid w:val="005C132F"/>
    <w:rsid w:val="005C1752"/>
    <w:rsid w:val="005C1BF2"/>
    <w:rsid w:val="005C2144"/>
    <w:rsid w:val="005C247C"/>
    <w:rsid w:val="005C2D32"/>
    <w:rsid w:val="005C2F71"/>
    <w:rsid w:val="005C3022"/>
    <w:rsid w:val="005C33CE"/>
    <w:rsid w:val="005C376D"/>
    <w:rsid w:val="005C46D7"/>
    <w:rsid w:val="005C4B4D"/>
    <w:rsid w:val="005C4CD6"/>
    <w:rsid w:val="005C4DE3"/>
    <w:rsid w:val="005C5024"/>
    <w:rsid w:val="005C5372"/>
    <w:rsid w:val="005C5379"/>
    <w:rsid w:val="005C537D"/>
    <w:rsid w:val="005C5425"/>
    <w:rsid w:val="005C5849"/>
    <w:rsid w:val="005C5A28"/>
    <w:rsid w:val="005C6222"/>
    <w:rsid w:val="005C6B26"/>
    <w:rsid w:val="005C6CEB"/>
    <w:rsid w:val="005C772B"/>
    <w:rsid w:val="005C7A54"/>
    <w:rsid w:val="005C7CAD"/>
    <w:rsid w:val="005C7CF2"/>
    <w:rsid w:val="005C7EF8"/>
    <w:rsid w:val="005D01D7"/>
    <w:rsid w:val="005D02FA"/>
    <w:rsid w:val="005D047B"/>
    <w:rsid w:val="005D0790"/>
    <w:rsid w:val="005D0D3E"/>
    <w:rsid w:val="005D17BF"/>
    <w:rsid w:val="005D17F9"/>
    <w:rsid w:val="005D18B1"/>
    <w:rsid w:val="005D1A65"/>
    <w:rsid w:val="005D20FC"/>
    <w:rsid w:val="005D24A2"/>
    <w:rsid w:val="005D25D7"/>
    <w:rsid w:val="005D2A49"/>
    <w:rsid w:val="005D2CB0"/>
    <w:rsid w:val="005D2EE8"/>
    <w:rsid w:val="005D3534"/>
    <w:rsid w:val="005D3707"/>
    <w:rsid w:val="005D382F"/>
    <w:rsid w:val="005D389B"/>
    <w:rsid w:val="005D3AF0"/>
    <w:rsid w:val="005D3BFD"/>
    <w:rsid w:val="005D46E9"/>
    <w:rsid w:val="005D5012"/>
    <w:rsid w:val="005D5E46"/>
    <w:rsid w:val="005D609E"/>
    <w:rsid w:val="005D64A5"/>
    <w:rsid w:val="005D6929"/>
    <w:rsid w:val="005D69D5"/>
    <w:rsid w:val="005D6B30"/>
    <w:rsid w:val="005D6E1C"/>
    <w:rsid w:val="005D7458"/>
    <w:rsid w:val="005D7539"/>
    <w:rsid w:val="005D76F4"/>
    <w:rsid w:val="005D7E04"/>
    <w:rsid w:val="005E0082"/>
    <w:rsid w:val="005E06E1"/>
    <w:rsid w:val="005E0899"/>
    <w:rsid w:val="005E1393"/>
    <w:rsid w:val="005E1411"/>
    <w:rsid w:val="005E18CE"/>
    <w:rsid w:val="005E3035"/>
    <w:rsid w:val="005E35FD"/>
    <w:rsid w:val="005E383F"/>
    <w:rsid w:val="005E3B77"/>
    <w:rsid w:val="005E3F5F"/>
    <w:rsid w:val="005E48F7"/>
    <w:rsid w:val="005E4CCB"/>
    <w:rsid w:val="005E5536"/>
    <w:rsid w:val="005E5563"/>
    <w:rsid w:val="005E57FE"/>
    <w:rsid w:val="005E59C5"/>
    <w:rsid w:val="005E5E74"/>
    <w:rsid w:val="005E66F1"/>
    <w:rsid w:val="005E6AFB"/>
    <w:rsid w:val="005E7698"/>
    <w:rsid w:val="005E7849"/>
    <w:rsid w:val="005E7A8C"/>
    <w:rsid w:val="005F06FA"/>
    <w:rsid w:val="005F06FD"/>
    <w:rsid w:val="005F0B4C"/>
    <w:rsid w:val="005F0B53"/>
    <w:rsid w:val="005F0C46"/>
    <w:rsid w:val="005F1543"/>
    <w:rsid w:val="005F1FE4"/>
    <w:rsid w:val="005F2528"/>
    <w:rsid w:val="005F27D4"/>
    <w:rsid w:val="005F369B"/>
    <w:rsid w:val="005F38C5"/>
    <w:rsid w:val="005F3955"/>
    <w:rsid w:val="005F3F7F"/>
    <w:rsid w:val="005F40E5"/>
    <w:rsid w:val="005F419B"/>
    <w:rsid w:val="005F46D9"/>
    <w:rsid w:val="005F485F"/>
    <w:rsid w:val="005F4950"/>
    <w:rsid w:val="005F4D16"/>
    <w:rsid w:val="005F523F"/>
    <w:rsid w:val="005F5362"/>
    <w:rsid w:val="005F547B"/>
    <w:rsid w:val="005F556F"/>
    <w:rsid w:val="005F5C3D"/>
    <w:rsid w:val="005F660A"/>
    <w:rsid w:val="005F6697"/>
    <w:rsid w:val="005F69DD"/>
    <w:rsid w:val="005F6CA5"/>
    <w:rsid w:val="005F6EF0"/>
    <w:rsid w:val="005F6F60"/>
    <w:rsid w:val="005F6F9C"/>
    <w:rsid w:val="005F6FFC"/>
    <w:rsid w:val="005F76BE"/>
    <w:rsid w:val="005F7CC1"/>
    <w:rsid w:val="006004DE"/>
    <w:rsid w:val="00600AAB"/>
    <w:rsid w:val="00600B6C"/>
    <w:rsid w:val="00601072"/>
    <w:rsid w:val="00601097"/>
    <w:rsid w:val="0060144E"/>
    <w:rsid w:val="00601FCD"/>
    <w:rsid w:val="00602354"/>
    <w:rsid w:val="0060254B"/>
    <w:rsid w:val="0060268D"/>
    <w:rsid w:val="006027D5"/>
    <w:rsid w:val="00602C49"/>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0B78"/>
    <w:rsid w:val="006113A9"/>
    <w:rsid w:val="006117DE"/>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62D2"/>
    <w:rsid w:val="00616885"/>
    <w:rsid w:val="00616B91"/>
    <w:rsid w:val="00616F90"/>
    <w:rsid w:val="0061717B"/>
    <w:rsid w:val="0061717F"/>
    <w:rsid w:val="006175CF"/>
    <w:rsid w:val="00617B93"/>
    <w:rsid w:val="0062001A"/>
    <w:rsid w:val="00620020"/>
    <w:rsid w:val="00620049"/>
    <w:rsid w:val="006201A2"/>
    <w:rsid w:val="006201CD"/>
    <w:rsid w:val="006201F5"/>
    <w:rsid w:val="00620254"/>
    <w:rsid w:val="006205EA"/>
    <w:rsid w:val="00620686"/>
    <w:rsid w:val="006206A2"/>
    <w:rsid w:val="00620721"/>
    <w:rsid w:val="006209E8"/>
    <w:rsid w:val="00621B6A"/>
    <w:rsid w:val="00621C0B"/>
    <w:rsid w:val="00621C72"/>
    <w:rsid w:val="00621CAD"/>
    <w:rsid w:val="00623427"/>
    <w:rsid w:val="00623AEB"/>
    <w:rsid w:val="00623E4E"/>
    <w:rsid w:val="00624C2C"/>
    <w:rsid w:val="00624C6E"/>
    <w:rsid w:val="00624FB3"/>
    <w:rsid w:val="00624FF1"/>
    <w:rsid w:val="0062587D"/>
    <w:rsid w:val="00625B24"/>
    <w:rsid w:val="0062657C"/>
    <w:rsid w:val="00626C25"/>
    <w:rsid w:val="00626E64"/>
    <w:rsid w:val="0062725A"/>
    <w:rsid w:val="0062776C"/>
    <w:rsid w:val="00627B4F"/>
    <w:rsid w:val="00627BA3"/>
    <w:rsid w:val="00627C39"/>
    <w:rsid w:val="00627E44"/>
    <w:rsid w:val="006300D7"/>
    <w:rsid w:val="00630333"/>
    <w:rsid w:val="0063075B"/>
    <w:rsid w:val="00631007"/>
    <w:rsid w:val="00631826"/>
    <w:rsid w:val="006326BC"/>
    <w:rsid w:val="00632763"/>
    <w:rsid w:val="00632927"/>
    <w:rsid w:val="00632A0E"/>
    <w:rsid w:val="00632A4C"/>
    <w:rsid w:val="00632EEF"/>
    <w:rsid w:val="0063305B"/>
    <w:rsid w:val="0063362C"/>
    <w:rsid w:val="00633951"/>
    <w:rsid w:val="00633965"/>
    <w:rsid w:val="00633A3A"/>
    <w:rsid w:val="00633B5E"/>
    <w:rsid w:val="00633C0A"/>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0B73"/>
    <w:rsid w:val="00641061"/>
    <w:rsid w:val="006411DF"/>
    <w:rsid w:val="006419ED"/>
    <w:rsid w:val="006424E3"/>
    <w:rsid w:val="006427DE"/>
    <w:rsid w:val="00642D10"/>
    <w:rsid w:val="00642E65"/>
    <w:rsid w:val="00643769"/>
    <w:rsid w:val="006437D5"/>
    <w:rsid w:val="00643891"/>
    <w:rsid w:val="00643DCD"/>
    <w:rsid w:val="00644200"/>
    <w:rsid w:val="0064428B"/>
    <w:rsid w:val="006443C6"/>
    <w:rsid w:val="00644511"/>
    <w:rsid w:val="0064486C"/>
    <w:rsid w:val="00644AB6"/>
    <w:rsid w:val="00644E60"/>
    <w:rsid w:val="00645190"/>
    <w:rsid w:val="00645ACC"/>
    <w:rsid w:val="0064615B"/>
    <w:rsid w:val="006466B5"/>
    <w:rsid w:val="00646C84"/>
    <w:rsid w:val="00647231"/>
    <w:rsid w:val="006477A7"/>
    <w:rsid w:val="00647BB6"/>
    <w:rsid w:val="00647CB3"/>
    <w:rsid w:val="00650150"/>
    <w:rsid w:val="00650854"/>
    <w:rsid w:val="00650D1E"/>
    <w:rsid w:val="00650D3F"/>
    <w:rsid w:val="00650EB1"/>
    <w:rsid w:val="00650EB8"/>
    <w:rsid w:val="00650F7C"/>
    <w:rsid w:val="00650FBE"/>
    <w:rsid w:val="006513D5"/>
    <w:rsid w:val="006518B1"/>
    <w:rsid w:val="00651AD3"/>
    <w:rsid w:val="00651B74"/>
    <w:rsid w:val="00651FA0"/>
    <w:rsid w:val="00653217"/>
    <w:rsid w:val="00653273"/>
    <w:rsid w:val="00653FED"/>
    <w:rsid w:val="0065424F"/>
    <w:rsid w:val="006543F3"/>
    <w:rsid w:val="006544F6"/>
    <w:rsid w:val="00655070"/>
    <w:rsid w:val="00655223"/>
    <w:rsid w:val="00655780"/>
    <w:rsid w:val="0065594D"/>
    <w:rsid w:val="006561FF"/>
    <w:rsid w:val="00656D6F"/>
    <w:rsid w:val="00657005"/>
    <w:rsid w:val="006572FB"/>
    <w:rsid w:val="006578D9"/>
    <w:rsid w:val="00657AEA"/>
    <w:rsid w:val="00657F67"/>
    <w:rsid w:val="006605DC"/>
    <w:rsid w:val="0066146F"/>
    <w:rsid w:val="00661636"/>
    <w:rsid w:val="00661C4E"/>
    <w:rsid w:val="00661CC2"/>
    <w:rsid w:val="00662166"/>
    <w:rsid w:val="00662717"/>
    <w:rsid w:val="00662FA2"/>
    <w:rsid w:val="0066310A"/>
    <w:rsid w:val="006635DC"/>
    <w:rsid w:val="0066369A"/>
    <w:rsid w:val="0066386C"/>
    <w:rsid w:val="006638FF"/>
    <w:rsid w:val="00663908"/>
    <w:rsid w:val="00663A5B"/>
    <w:rsid w:val="00663DAB"/>
    <w:rsid w:val="00663F72"/>
    <w:rsid w:val="00664678"/>
    <w:rsid w:val="006646F4"/>
    <w:rsid w:val="00665229"/>
    <w:rsid w:val="00665316"/>
    <w:rsid w:val="006654E8"/>
    <w:rsid w:val="0066568F"/>
    <w:rsid w:val="00665CCE"/>
    <w:rsid w:val="00666E49"/>
    <w:rsid w:val="00666FED"/>
    <w:rsid w:val="006672FC"/>
    <w:rsid w:val="00667378"/>
    <w:rsid w:val="0066745C"/>
    <w:rsid w:val="00667A27"/>
    <w:rsid w:val="00670204"/>
    <w:rsid w:val="00670290"/>
    <w:rsid w:val="006704BF"/>
    <w:rsid w:val="00670646"/>
    <w:rsid w:val="00670AD6"/>
    <w:rsid w:val="00670ECD"/>
    <w:rsid w:val="00671010"/>
    <w:rsid w:val="0067106A"/>
    <w:rsid w:val="00671B4F"/>
    <w:rsid w:val="00671ED0"/>
    <w:rsid w:val="006725CC"/>
    <w:rsid w:val="0067273D"/>
    <w:rsid w:val="00672966"/>
    <w:rsid w:val="00672A48"/>
    <w:rsid w:val="00672E1F"/>
    <w:rsid w:val="00672F51"/>
    <w:rsid w:val="006735B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79C"/>
    <w:rsid w:val="00680A97"/>
    <w:rsid w:val="00680B9E"/>
    <w:rsid w:val="00680F30"/>
    <w:rsid w:val="00680F81"/>
    <w:rsid w:val="0068102D"/>
    <w:rsid w:val="00681254"/>
    <w:rsid w:val="00681307"/>
    <w:rsid w:val="006820C0"/>
    <w:rsid w:val="0068226B"/>
    <w:rsid w:val="00682E47"/>
    <w:rsid w:val="00682ED3"/>
    <w:rsid w:val="006839BA"/>
    <w:rsid w:val="00683D7F"/>
    <w:rsid w:val="00683E9E"/>
    <w:rsid w:val="00683F24"/>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87A5E"/>
    <w:rsid w:val="00690D12"/>
    <w:rsid w:val="00690F0E"/>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6244"/>
    <w:rsid w:val="006969D6"/>
    <w:rsid w:val="00696B6A"/>
    <w:rsid w:val="00696DD1"/>
    <w:rsid w:val="0069755C"/>
    <w:rsid w:val="006979DC"/>
    <w:rsid w:val="00697C2C"/>
    <w:rsid w:val="00697E0B"/>
    <w:rsid w:val="00697F71"/>
    <w:rsid w:val="006A04D8"/>
    <w:rsid w:val="006A05EF"/>
    <w:rsid w:val="006A0942"/>
    <w:rsid w:val="006A11CD"/>
    <w:rsid w:val="006A14A5"/>
    <w:rsid w:val="006A18DD"/>
    <w:rsid w:val="006A20BD"/>
    <w:rsid w:val="006A2312"/>
    <w:rsid w:val="006A2347"/>
    <w:rsid w:val="006A24B3"/>
    <w:rsid w:val="006A29BF"/>
    <w:rsid w:val="006A2BF5"/>
    <w:rsid w:val="006A2D0E"/>
    <w:rsid w:val="006A2E66"/>
    <w:rsid w:val="006A3227"/>
    <w:rsid w:val="006A3396"/>
    <w:rsid w:val="006A351E"/>
    <w:rsid w:val="006A3F94"/>
    <w:rsid w:val="006A40D0"/>
    <w:rsid w:val="006A4113"/>
    <w:rsid w:val="006A49B5"/>
    <w:rsid w:val="006A4F1A"/>
    <w:rsid w:val="006A4FF3"/>
    <w:rsid w:val="006A540C"/>
    <w:rsid w:val="006A5A45"/>
    <w:rsid w:val="006A5CA3"/>
    <w:rsid w:val="006A5D5C"/>
    <w:rsid w:val="006A5E26"/>
    <w:rsid w:val="006A6B3F"/>
    <w:rsid w:val="006A6B69"/>
    <w:rsid w:val="006A74C0"/>
    <w:rsid w:val="006A7574"/>
    <w:rsid w:val="006A76A6"/>
    <w:rsid w:val="006B0489"/>
    <w:rsid w:val="006B05F5"/>
    <w:rsid w:val="006B0A30"/>
    <w:rsid w:val="006B1213"/>
    <w:rsid w:val="006B163E"/>
    <w:rsid w:val="006B166D"/>
    <w:rsid w:val="006B19B2"/>
    <w:rsid w:val="006B1A07"/>
    <w:rsid w:val="006B1DA2"/>
    <w:rsid w:val="006B1F5F"/>
    <w:rsid w:val="006B2008"/>
    <w:rsid w:val="006B21E9"/>
    <w:rsid w:val="006B242D"/>
    <w:rsid w:val="006B2431"/>
    <w:rsid w:val="006B24F8"/>
    <w:rsid w:val="006B393F"/>
    <w:rsid w:val="006B3E55"/>
    <w:rsid w:val="006B401E"/>
    <w:rsid w:val="006B4B0E"/>
    <w:rsid w:val="006B5111"/>
    <w:rsid w:val="006B52BA"/>
    <w:rsid w:val="006B5A7D"/>
    <w:rsid w:val="006B6346"/>
    <w:rsid w:val="006B6AD0"/>
    <w:rsid w:val="006B6BA3"/>
    <w:rsid w:val="006B6C83"/>
    <w:rsid w:val="006B6C95"/>
    <w:rsid w:val="006B725C"/>
    <w:rsid w:val="006B7864"/>
    <w:rsid w:val="006C03B2"/>
    <w:rsid w:val="006C09DD"/>
    <w:rsid w:val="006C0B08"/>
    <w:rsid w:val="006C0D37"/>
    <w:rsid w:val="006C1142"/>
    <w:rsid w:val="006C1A29"/>
    <w:rsid w:val="006C1B3F"/>
    <w:rsid w:val="006C1F77"/>
    <w:rsid w:val="006C22BD"/>
    <w:rsid w:val="006C2604"/>
    <w:rsid w:val="006C3309"/>
    <w:rsid w:val="006C375B"/>
    <w:rsid w:val="006C3FF3"/>
    <w:rsid w:val="006C44D3"/>
    <w:rsid w:val="006C45C1"/>
    <w:rsid w:val="006C4B11"/>
    <w:rsid w:val="006C4D69"/>
    <w:rsid w:val="006C4E89"/>
    <w:rsid w:val="006C50C3"/>
    <w:rsid w:val="006C51A3"/>
    <w:rsid w:val="006C54AC"/>
    <w:rsid w:val="006C566C"/>
    <w:rsid w:val="006C57EC"/>
    <w:rsid w:val="006C5C20"/>
    <w:rsid w:val="006C5FF1"/>
    <w:rsid w:val="006C6287"/>
    <w:rsid w:val="006C677C"/>
    <w:rsid w:val="006C6E92"/>
    <w:rsid w:val="006C75C9"/>
    <w:rsid w:val="006C7CAC"/>
    <w:rsid w:val="006C7FB9"/>
    <w:rsid w:val="006D0556"/>
    <w:rsid w:val="006D0846"/>
    <w:rsid w:val="006D0C09"/>
    <w:rsid w:val="006D0E7E"/>
    <w:rsid w:val="006D1A23"/>
    <w:rsid w:val="006D1DFA"/>
    <w:rsid w:val="006D1F1A"/>
    <w:rsid w:val="006D2039"/>
    <w:rsid w:val="006D21FF"/>
    <w:rsid w:val="006D31AF"/>
    <w:rsid w:val="006D31DD"/>
    <w:rsid w:val="006D35CD"/>
    <w:rsid w:val="006D3CC3"/>
    <w:rsid w:val="006D3D01"/>
    <w:rsid w:val="006D4133"/>
    <w:rsid w:val="006D4373"/>
    <w:rsid w:val="006D492A"/>
    <w:rsid w:val="006D493C"/>
    <w:rsid w:val="006D5457"/>
    <w:rsid w:val="006D56B0"/>
    <w:rsid w:val="006D59BF"/>
    <w:rsid w:val="006D5A62"/>
    <w:rsid w:val="006D5EC2"/>
    <w:rsid w:val="006D5FEF"/>
    <w:rsid w:val="006D667A"/>
    <w:rsid w:val="006D7115"/>
    <w:rsid w:val="006D72E1"/>
    <w:rsid w:val="006D74C9"/>
    <w:rsid w:val="006D7598"/>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D3A"/>
    <w:rsid w:val="006E4646"/>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A6"/>
    <w:rsid w:val="006F20A7"/>
    <w:rsid w:val="006F25FE"/>
    <w:rsid w:val="006F291E"/>
    <w:rsid w:val="006F2F4D"/>
    <w:rsid w:val="006F3052"/>
    <w:rsid w:val="006F314D"/>
    <w:rsid w:val="006F3B01"/>
    <w:rsid w:val="006F3C66"/>
    <w:rsid w:val="006F4189"/>
    <w:rsid w:val="006F468E"/>
    <w:rsid w:val="006F557B"/>
    <w:rsid w:val="006F5674"/>
    <w:rsid w:val="006F5B41"/>
    <w:rsid w:val="006F6689"/>
    <w:rsid w:val="006F6740"/>
    <w:rsid w:val="006F6FEA"/>
    <w:rsid w:val="006F70E1"/>
    <w:rsid w:val="006F7427"/>
    <w:rsid w:val="006F746D"/>
    <w:rsid w:val="006F7A6B"/>
    <w:rsid w:val="006F7A92"/>
    <w:rsid w:val="006F7E42"/>
    <w:rsid w:val="00700042"/>
    <w:rsid w:val="0070013F"/>
    <w:rsid w:val="0070023A"/>
    <w:rsid w:val="0070063F"/>
    <w:rsid w:val="0070124B"/>
    <w:rsid w:val="007017EA"/>
    <w:rsid w:val="0070181F"/>
    <w:rsid w:val="0070193E"/>
    <w:rsid w:val="00701B27"/>
    <w:rsid w:val="00701F97"/>
    <w:rsid w:val="007032E6"/>
    <w:rsid w:val="007036E5"/>
    <w:rsid w:val="00703D8A"/>
    <w:rsid w:val="00704123"/>
    <w:rsid w:val="00704641"/>
    <w:rsid w:val="007047A7"/>
    <w:rsid w:val="007050A6"/>
    <w:rsid w:val="007056ED"/>
    <w:rsid w:val="00705D28"/>
    <w:rsid w:val="00706AC2"/>
    <w:rsid w:val="007072C8"/>
    <w:rsid w:val="0070743B"/>
    <w:rsid w:val="00707CC2"/>
    <w:rsid w:val="00707EC9"/>
    <w:rsid w:val="007101EE"/>
    <w:rsid w:val="00710994"/>
    <w:rsid w:val="007109CD"/>
    <w:rsid w:val="00710A3E"/>
    <w:rsid w:val="00710D33"/>
    <w:rsid w:val="0071127B"/>
    <w:rsid w:val="00711760"/>
    <w:rsid w:val="007117AA"/>
    <w:rsid w:val="0071181D"/>
    <w:rsid w:val="0071196B"/>
    <w:rsid w:val="00711A0F"/>
    <w:rsid w:val="00711AE4"/>
    <w:rsid w:val="00711B30"/>
    <w:rsid w:val="00711D10"/>
    <w:rsid w:val="00711D73"/>
    <w:rsid w:val="00712202"/>
    <w:rsid w:val="00712A0F"/>
    <w:rsid w:val="00712FDB"/>
    <w:rsid w:val="007131B0"/>
    <w:rsid w:val="0071371F"/>
    <w:rsid w:val="0071374D"/>
    <w:rsid w:val="00714065"/>
    <w:rsid w:val="00714186"/>
    <w:rsid w:val="00714312"/>
    <w:rsid w:val="00714504"/>
    <w:rsid w:val="00714796"/>
    <w:rsid w:val="00714D6A"/>
    <w:rsid w:val="00715F49"/>
    <w:rsid w:val="00716324"/>
    <w:rsid w:val="007163BF"/>
    <w:rsid w:val="0071649C"/>
    <w:rsid w:val="00716B63"/>
    <w:rsid w:val="00716FC0"/>
    <w:rsid w:val="00717267"/>
    <w:rsid w:val="00717300"/>
    <w:rsid w:val="00717890"/>
    <w:rsid w:val="007178EE"/>
    <w:rsid w:val="00720759"/>
    <w:rsid w:val="00720A0C"/>
    <w:rsid w:val="007215A9"/>
    <w:rsid w:val="0072190B"/>
    <w:rsid w:val="00721CB7"/>
    <w:rsid w:val="00721D98"/>
    <w:rsid w:val="00721DB3"/>
    <w:rsid w:val="00721E1D"/>
    <w:rsid w:val="00722260"/>
    <w:rsid w:val="00722602"/>
    <w:rsid w:val="00722809"/>
    <w:rsid w:val="0072298B"/>
    <w:rsid w:val="00722B72"/>
    <w:rsid w:val="00722BD3"/>
    <w:rsid w:val="00722F80"/>
    <w:rsid w:val="00723099"/>
    <w:rsid w:val="007233B6"/>
    <w:rsid w:val="0072350B"/>
    <w:rsid w:val="007238F1"/>
    <w:rsid w:val="00724426"/>
    <w:rsid w:val="00724437"/>
    <w:rsid w:val="007244BA"/>
    <w:rsid w:val="007245F9"/>
    <w:rsid w:val="0072461A"/>
    <w:rsid w:val="00725068"/>
    <w:rsid w:val="0072560E"/>
    <w:rsid w:val="00725CB6"/>
    <w:rsid w:val="00725CDC"/>
    <w:rsid w:val="00726281"/>
    <w:rsid w:val="007263AD"/>
    <w:rsid w:val="0072650B"/>
    <w:rsid w:val="00726537"/>
    <w:rsid w:val="0072665F"/>
    <w:rsid w:val="00726EA1"/>
    <w:rsid w:val="007273EC"/>
    <w:rsid w:val="007279F1"/>
    <w:rsid w:val="00727E3C"/>
    <w:rsid w:val="00727E9F"/>
    <w:rsid w:val="00730F0F"/>
    <w:rsid w:val="00730FB9"/>
    <w:rsid w:val="0073128B"/>
    <w:rsid w:val="0073150C"/>
    <w:rsid w:val="0073171A"/>
    <w:rsid w:val="007325D3"/>
    <w:rsid w:val="00732885"/>
    <w:rsid w:val="00733575"/>
    <w:rsid w:val="00733858"/>
    <w:rsid w:val="00733A80"/>
    <w:rsid w:val="0073487C"/>
    <w:rsid w:val="0073497A"/>
    <w:rsid w:val="0073532A"/>
    <w:rsid w:val="00735E35"/>
    <w:rsid w:val="0073637C"/>
    <w:rsid w:val="00736732"/>
    <w:rsid w:val="00736803"/>
    <w:rsid w:val="00736886"/>
    <w:rsid w:val="00736D7B"/>
    <w:rsid w:val="007377ED"/>
    <w:rsid w:val="007379C8"/>
    <w:rsid w:val="007406A2"/>
    <w:rsid w:val="007406C0"/>
    <w:rsid w:val="00740AC1"/>
    <w:rsid w:val="00740B5C"/>
    <w:rsid w:val="00740BF9"/>
    <w:rsid w:val="00740DD7"/>
    <w:rsid w:val="0074108B"/>
    <w:rsid w:val="00741434"/>
    <w:rsid w:val="0074146A"/>
    <w:rsid w:val="007415B6"/>
    <w:rsid w:val="00741A56"/>
    <w:rsid w:val="007420C9"/>
    <w:rsid w:val="00742695"/>
    <w:rsid w:val="00742A51"/>
    <w:rsid w:val="00743468"/>
    <w:rsid w:val="007435B1"/>
    <w:rsid w:val="007436B1"/>
    <w:rsid w:val="007436D5"/>
    <w:rsid w:val="00743867"/>
    <w:rsid w:val="00743D54"/>
    <w:rsid w:val="00744055"/>
    <w:rsid w:val="0074443A"/>
    <w:rsid w:val="0074462D"/>
    <w:rsid w:val="0074475B"/>
    <w:rsid w:val="00744E4F"/>
    <w:rsid w:val="0074544C"/>
    <w:rsid w:val="0074576E"/>
    <w:rsid w:val="0074587B"/>
    <w:rsid w:val="007458E7"/>
    <w:rsid w:val="00745EBB"/>
    <w:rsid w:val="00746167"/>
    <w:rsid w:val="00746199"/>
    <w:rsid w:val="00746D90"/>
    <w:rsid w:val="00747446"/>
    <w:rsid w:val="007475BE"/>
    <w:rsid w:val="00747BD8"/>
    <w:rsid w:val="00747F05"/>
    <w:rsid w:val="0075038A"/>
    <w:rsid w:val="007503B7"/>
    <w:rsid w:val="0075076E"/>
    <w:rsid w:val="007509F9"/>
    <w:rsid w:val="00751B32"/>
    <w:rsid w:val="00751F76"/>
    <w:rsid w:val="00752497"/>
    <w:rsid w:val="007524E2"/>
    <w:rsid w:val="00752FE7"/>
    <w:rsid w:val="00753F01"/>
    <w:rsid w:val="0075412E"/>
    <w:rsid w:val="007545E6"/>
    <w:rsid w:val="00754747"/>
    <w:rsid w:val="00754D64"/>
    <w:rsid w:val="00754FCC"/>
    <w:rsid w:val="00755420"/>
    <w:rsid w:val="00755559"/>
    <w:rsid w:val="00755B06"/>
    <w:rsid w:val="00755D41"/>
    <w:rsid w:val="00755E06"/>
    <w:rsid w:val="00755F8B"/>
    <w:rsid w:val="00756447"/>
    <w:rsid w:val="007565E2"/>
    <w:rsid w:val="00756F15"/>
    <w:rsid w:val="00756F1E"/>
    <w:rsid w:val="007572E9"/>
    <w:rsid w:val="00757A61"/>
    <w:rsid w:val="00757C04"/>
    <w:rsid w:val="00757CD9"/>
    <w:rsid w:val="00757E8E"/>
    <w:rsid w:val="00757FE8"/>
    <w:rsid w:val="007600CF"/>
    <w:rsid w:val="0076015A"/>
    <w:rsid w:val="0076031F"/>
    <w:rsid w:val="00760756"/>
    <w:rsid w:val="00760D79"/>
    <w:rsid w:val="0076116A"/>
    <w:rsid w:val="00761332"/>
    <w:rsid w:val="007613AF"/>
    <w:rsid w:val="0076145C"/>
    <w:rsid w:val="007619FB"/>
    <w:rsid w:val="00761A37"/>
    <w:rsid w:val="0076200C"/>
    <w:rsid w:val="00762924"/>
    <w:rsid w:val="0076295C"/>
    <w:rsid w:val="00762FA7"/>
    <w:rsid w:val="00763055"/>
    <w:rsid w:val="00763432"/>
    <w:rsid w:val="00763448"/>
    <w:rsid w:val="00763DBE"/>
    <w:rsid w:val="00763EB7"/>
    <w:rsid w:val="00764043"/>
    <w:rsid w:val="00764EB8"/>
    <w:rsid w:val="00765098"/>
    <w:rsid w:val="007650A8"/>
    <w:rsid w:val="0076539C"/>
    <w:rsid w:val="00765832"/>
    <w:rsid w:val="00765FDC"/>
    <w:rsid w:val="007663A3"/>
    <w:rsid w:val="00766559"/>
    <w:rsid w:val="007669EF"/>
    <w:rsid w:val="00766B0E"/>
    <w:rsid w:val="00766BFB"/>
    <w:rsid w:val="00766C3A"/>
    <w:rsid w:val="00766ED2"/>
    <w:rsid w:val="0076731C"/>
    <w:rsid w:val="0076747C"/>
    <w:rsid w:val="007674C6"/>
    <w:rsid w:val="00767703"/>
    <w:rsid w:val="007678B6"/>
    <w:rsid w:val="007700C8"/>
    <w:rsid w:val="007702AC"/>
    <w:rsid w:val="00770CEE"/>
    <w:rsid w:val="0077115B"/>
    <w:rsid w:val="007721AD"/>
    <w:rsid w:val="00772232"/>
    <w:rsid w:val="007728F4"/>
    <w:rsid w:val="00772D15"/>
    <w:rsid w:val="00772DC3"/>
    <w:rsid w:val="007733C4"/>
    <w:rsid w:val="00773EC7"/>
    <w:rsid w:val="007743A1"/>
    <w:rsid w:val="007744EF"/>
    <w:rsid w:val="00775BAA"/>
    <w:rsid w:val="00775C35"/>
    <w:rsid w:val="00775EFD"/>
    <w:rsid w:val="00775F11"/>
    <w:rsid w:val="00776351"/>
    <w:rsid w:val="007765B0"/>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C31"/>
    <w:rsid w:val="00784EA1"/>
    <w:rsid w:val="00784ECF"/>
    <w:rsid w:val="00784FC7"/>
    <w:rsid w:val="007859E1"/>
    <w:rsid w:val="0078618F"/>
    <w:rsid w:val="007861D1"/>
    <w:rsid w:val="00786272"/>
    <w:rsid w:val="007864B2"/>
    <w:rsid w:val="007864F6"/>
    <w:rsid w:val="00786620"/>
    <w:rsid w:val="0078681A"/>
    <w:rsid w:val="007868B7"/>
    <w:rsid w:val="00786BC0"/>
    <w:rsid w:val="007875E7"/>
    <w:rsid w:val="00787736"/>
    <w:rsid w:val="00787A55"/>
    <w:rsid w:val="00787B54"/>
    <w:rsid w:val="00787FF1"/>
    <w:rsid w:val="00791190"/>
    <w:rsid w:val="007916D2"/>
    <w:rsid w:val="00791866"/>
    <w:rsid w:val="00791ADE"/>
    <w:rsid w:val="00791BE9"/>
    <w:rsid w:val="00791BEA"/>
    <w:rsid w:val="00792173"/>
    <w:rsid w:val="007926B7"/>
    <w:rsid w:val="00792AD3"/>
    <w:rsid w:val="00792BEC"/>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77CE"/>
    <w:rsid w:val="00797DAA"/>
    <w:rsid w:val="00797FCF"/>
    <w:rsid w:val="007A0616"/>
    <w:rsid w:val="007A0BDA"/>
    <w:rsid w:val="007A0CDD"/>
    <w:rsid w:val="007A0D0D"/>
    <w:rsid w:val="007A0DAC"/>
    <w:rsid w:val="007A1189"/>
    <w:rsid w:val="007A15BA"/>
    <w:rsid w:val="007A16E9"/>
    <w:rsid w:val="007A1A41"/>
    <w:rsid w:val="007A1B63"/>
    <w:rsid w:val="007A22D6"/>
    <w:rsid w:val="007A2BFF"/>
    <w:rsid w:val="007A2D56"/>
    <w:rsid w:val="007A3226"/>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75A"/>
    <w:rsid w:val="007A6909"/>
    <w:rsid w:val="007A6A76"/>
    <w:rsid w:val="007A6C3B"/>
    <w:rsid w:val="007A6D83"/>
    <w:rsid w:val="007A7228"/>
    <w:rsid w:val="007A75A3"/>
    <w:rsid w:val="007A768A"/>
    <w:rsid w:val="007A7AD5"/>
    <w:rsid w:val="007A7DB8"/>
    <w:rsid w:val="007B0253"/>
    <w:rsid w:val="007B073B"/>
    <w:rsid w:val="007B1061"/>
    <w:rsid w:val="007B1189"/>
    <w:rsid w:val="007B19CC"/>
    <w:rsid w:val="007B1F9A"/>
    <w:rsid w:val="007B2074"/>
    <w:rsid w:val="007B2638"/>
    <w:rsid w:val="007B2BB1"/>
    <w:rsid w:val="007B3476"/>
    <w:rsid w:val="007B448A"/>
    <w:rsid w:val="007B44DC"/>
    <w:rsid w:val="007B4543"/>
    <w:rsid w:val="007B4937"/>
    <w:rsid w:val="007B4D3D"/>
    <w:rsid w:val="007B5500"/>
    <w:rsid w:val="007B550D"/>
    <w:rsid w:val="007B56F0"/>
    <w:rsid w:val="007B5A66"/>
    <w:rsid w:val="007B630D"/>
    <w:rsid w:val="007B645F"/>
    <w:rsid w:val="007B6B0D"/>
    <w:rsid w:val="007B77FB"/>
    <w:rsid w:val="007B7ABA"/>
    <w:rsid w:val="007B7D58"/>
    <w:rsid w:val="007B7E59"/>
    <w:rsid w:val="007C0880"/>
    <w:rsid w:val="007C0AE5"/>
    <w:rsid w:val="007C0BD2"/>
    <w:rsid w:val="007C0F3A"/>
    <w:rsid w:val="007C0FA1"/>
    <w:rsid w:val="007C1065"/>
    <w:rsid w:val="007C14BD"/>
    <w:rsid w:val="007C1537"/>
    <w:rsid w:val="007C198E"/>
    <w:rsid w:val="007C1B94"/>
    <w:rsid w:val="007C22E6"/>
    <w:rsid w:val="007C26FF"/>
    <w:rsid w:val="007C2A39"/>
    <w:rsid w:val="007C2AAF"/>
    <w:rsid w:val="007C2AF9"/>
    <w:rsid w:val="007C301B"/>
    <w:rsid w:val="007C3C91"/>
    <w:rsid w:val="007C3D88"/>
    <w:rsid w:val="007C3EE5"/>
    <w:rsid w:val="007C3F14"/>
    <w:rsid w:val="007C450E"/>
    <w:rsid w:val="007C46E3"/>
    <w:rsid w:val="007C508D"/>
    <w:rsid w:val="007C515A"/>
    <w:rsid w:val="007C52ED"/>
    <w:rsid w:val="007C52F0"/>
    <w:rsid w:val="007C56CE"/>
    <w:rsid w:val="007C5CE6"/>
    <w:rsid w:val="007C5DB6"/>
    <w:rsid w:val="007C64BC"/>
    <w:rsid w:val="007C67D6"/>
    <w:rsid w:val="007C6939"/>
    <w:rsid w:val="007C6941"/>
    <w:rsid w:val="007C6D8A"/>
    <w:rsid w:val="007C6E75"/>
    <w:rsid w:val="007C7578"/>
    <w:rsid w:val="007C779D"/>
    <w:rsid w:val="007C7EF3"/>
    <w:rsid w:val="007D020B"/>
    <w:rsid w:val="007D02A6"/>
    <w:rsid w:val="007D0645"/>
    <w:rsid w:val="007D098C"/>
    <w:rsid w:val="007D09F7"/>
    <w:rsid w:val="007D1115"/>
    <w:rsid w:val="007D11B6"/>
    <w:rsid w:val="007D149C"/>
    <w:rsid w:val="007D163B"/>
    <w:rsid w:val="007D1B2B"/>
    <w:rsid w:val="007D1B7C"/>
    <w:rsid w:val="007D214A"/>
    <w:rsid w:val="007D357E"/>
    <w:rsid w:val="007D3889"/>
    <w:rsid w:val="007D39D7"/>
    <w:rsid w:val="007D478D"/>
    <w:rsid w:val="007D4838"/>
    <w:rsid w:val="007D4956"/>
    <w:rsid w:val="007D4FF2"/>
    <w:rsid w:val="007D5033"/>
    <w:rsid w:val="007D512C"/>
    <w:rsid w:val="007D526F"/>
    <w:rsid w:val="007D5857"/>
    <w:rsid w:val="007D5CFA"/>
    <w:rsid w:val="007D6310"/>
    <w:rsid w:val="007D673F"/>
    <w:rsid w:val="007D68F4"/>
    <w:rsid w:val="007D6906"/>
    <w:rsid w:val="007D6CE5"/>
    <w:rsid w:val="007D6E8A"/>
    <w:rsid w:val="007D6EF0"/>
    <w:rsid w:val="007D7042"/>
    <w:rsid w:val="007D7059"/>
    <w:rsid w:val="007D73C2"/>
    <w:rsid w:val="007D7522"/>
    <w:rsid w:val="007D76AE"/>
    <w:rsid w:val="007E0162"/>
    <w:rsid w:val="007E05CC"/>
    <w:rsid w:val="007E08F5"/>
    <w:rsid w:val="007E0986"/>
    <w:rsid w:val="007E0C8C"/>
    <w:rsid w:val="007E0E84"/>
    <w:rsid w:val="007E1479"/>
    <w:rsid w:val="007E16A6"/>
    <w:rsid w:val="007E1A55"/>
    <w:rsid w:val="007E1CB1"/>
    <w:rsid w:val="007E1EBF"/>
    <w:rsid w:val="007E1FA7"/>
    <w:rsid w:val="007E201B"/>
    <w:rsid w:val="007E2146"/>
    <w:rsid w:val="007E2B64"/>
    <w:rsid w:val="007E2B9D"/>
    <w:rsid w:val="007E3182"/>
    <w:rsid w:val="007E36F8"/>
    <w:rsid w:val="007E42F2"/>
    <w:rsid w:val="007E4653"/>
    <w:rsid w:val="007E48CD"/>
    <w:rsid w:val="007E48E4"/>
    <w:rsid w:val="007E531F"/>
    <w:rsid w:val="007E5634"/>
    <w:rsid w:val="007E5D16"/>
    <w:rsid w:val="007E5FFD"/>
    <w:rsid w:val="007E6239"/>
    <w:rsid w:val="007E6735"/>
    <w:rsid w:val="007E67F4"/>
    <w:rsid w:val="007E732E"/>
    <w:rsid w:val="007E741E"/>
    <w:rsid w:val="007E79CD"/>
    <w:rsid w:val="007E7B2B"/>
    <w:rsid w:val="007E7E6F"/>
    <w:rsid w:val="007F05E0"/>
    <w:rsid w:val="007F0B77"/>
    <w:rsid w:val="007F0B82"/>
    <w:rsid w:val="007F0DD3"/>
    <w:rsid w:val="007F1083"/>
    <w:rsid w:val="007F18C0"/>
    <w:rsid w:val="007F21AA"/>
    <w:rsid w:val="007F2477"/>
    <w:rsid w:val="007F2DBB"/>
    <w:rsid w:val="007F2ED4"/>
    <w:rsid w:val="007F3507"/>
    <w:rsid w:val="007F3960"/>
    <w:rsid w:val="007F3F4E"/>
    <w:rsid w:val="007F3FB0"/>
    <w:rsid w:val="007F43A9"/>
    <w:rsid w:val="007F4FEA"/>
    <w:rsid w:val="007F54CD"/>
    <w:rsid w:val="007F55D1"/>
    <w:rsid w:val="007F5605"/>
    <w:rsid w:val="007F5608"/>
    <w:rsid w:val="007F5874"/>
    <w:rsid w:val="007F5D4A"/>
    <w:rsid w:val="007F6020"/>
    <w:rsid w:val="007F6562"/>
    <w:rsid w:val="007F65F2"/>
    <w:rsid w:val="007F6772"/>
    <w:rsid w:val="007F6AD2"/>
    <w:rsid w:val="007F70D6"/>
    <w:rsid w:val="007F7237"/>
    <w:rsid w:val="007F7723"/>
    <w:rsid w:val="007F7733"/>
    <w:rsid w:val="007F7864"/>
    <w:rsid w:val="007F795B"/>
    <w:rsid w:val="007F7DCC"/>
    <w:rsid w:val="00800104"/>
    <w:rsid w:val="00800184"/>
    <w:rsid w:val="00800312"/>
    <w:rsid w:val="00800994"/>
    <w:rsid w:val="00800D5F"/>
    <w:rsid w:val="00800DDB"/>
    <w:rsid w:val="008013B8"/>
    <w:rsid w:val="008016C8"/>
    <w:rsid w:val="0080179D"/>
    <w:rsid w:val="00801838"/>
    <w:rsid w:val="008018DC"/>
    <w:rsid w:val="00802410"/>
    <w:rsid w:val="0080270F"/>
    <w:rsid w:val="00802FDA"/>
    <w:rsid w:val="00803160"/>
    <w:rsid w:val="008036F8"/>
    <w:rsid w:val="00803905"/>
    <w:rsid w:val="0080397E"/>
    <w:rsid w:val="00803B79"/>
    <w:rsid w:val="00803E2E"/>
    <w:rsid w:val="00803FD6"/>
    <w:rsid w:val="008041E1"/>
    <w:rsid w:val="00804867"/>
    <w:rsid w:val="00804B2F"/>
    <w:rsid w:val="00804B56"/>
    <w:rsid w:val="008050E9"/>
    <w:rsid w:val="0080521C"/>
    <w:rsid w:val="008053AD"/>
    <w:rsid w:val="00805D11"/>
    <w:rsid w:val="0080656E"/>
    <w:rsid w:val="008065D0"/>
    <w:rsid w:val="0080660A"/>
    <w:rsid w:val="00806968"/>
    <w:rsid w:val="00806979"/>
    <w:rsid w:val="0080699F"/>
    <w:rsid w:val="00806D29"/>
    <w:rsid w:val="00806F5E"/>
    <w:rsid w:val="008072B6"/>
    <w:rsid w:val="00807365"/>
    <w:rsid w:val="0080770D"/>
    <w:rsid w:val="00807D28"/>
    <w:rsid w:val="00807D5E"/>
    <w:rsid w:val="00807E1B"/>
    <w:rsid w:val="008100D3"/>
    <w:rsid w:val="0081012C"/>
    <w:rsid w:val="008103E8"/>
    <w:rsid w:val="00810DE9"/>
    <w:rsid w:val="00810EAE"/>
    <w:rsid w:val="00811036"/>
    <w:rsid w:val="00812027"/>
    <w:rsid w:val="008123D5"/>
    <w:rsid w:val="008124FE"/>
    <w:rsid w:val="008127B0"/>
    <w:rsid w:val="00812FE3"/>
    <w:rsid w:val="0081362C"/>
    <w:rsid w:val="00813CE0"/>
    <w:rsid w:val="00814072"/>
    <w:rsid w:val="008142CD"/>
    <w:rsid w:val="0081433F"/>
    <w:rsid w:val="00814500"/>
    <w:rsid w:val="00814B38"/>
    <w:rsid w:val="00814B65"/>
    <w:rsid w:val="00814BD6"/>
    <w:rsid w:val="00814CA7"/>
    <w:rsid w:val="00814D2B"/>
    <w:rsid w:val="0081529F"/>
    <w:rsid w:val="008153F0"/>
    <w:rsid w:val="008154B6"/>
    <w:rsid w:val="0081555D"/>
    <w:rsid w:val="008155E8"/>
    <w:rsid w:val="00815706"/>
    <w:rsid w:val="00815D64"/>
    <w:rsid w:val="0081606D"/>
    <w:rsid w:val="00816292"/>
    <w:rsid w:val="00816A54"/>
    <w:rsid w:val="00816D94"/>
    <w:rsid w:val="00816D9C"/>
    <w:rsid w:val="00817151"/>
    <w:rsid w:val="0081787C"/>
    <w:rsid w:val="00817B8F"/>
    <w:rsid w:val="00817C96"/>
    <w:rsid w:val="00817CB0"/>
    <w:rsid w:val="00817D2A"/>
    <w:rsid w:val="00817F27"/>
    <w:rsid w:val="00820A96"/>
    <w:rsid w:val="008216E2"/>
    <w:rsid w:val="0082172C"/>
    <w:rsid w:val="00821773"/>
    <w:rsid w:val="008219C7"/>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3179C"/>
    <w:rsid w:val="00832142"/>
    <w:rsid w:val="00832C18"/>
    <w:rsid w:val="00832CA7"/>
    <w:rsid w:val="00832CAF"/>
    <w:rsid w:val="0083311A"/>
    <w:rsid w:val="008331BB"/>
    <w:rsid w:val="008333BB"/>
    <w:rsid w:val="0083417A"/>
    <w:rsid w:val="00834512"/>
    <w:rsid w:val="008349E7"/>
    <w:rsid w:val="0083502E"/>
    <w:rsid w:val="008350E9"/>
    <w:rsid w:val="00835B82"/>
    <w:rsid w:val="00836133"/>
    <w:rsid w:val="0083657B"/>
    <w:rsid w:val="00836B5B"/>
    <w:rsid w:val="0083768C"/>
    <w:rsid w:val="00837E87"/>
    <w:rsid w:val="008400F9"/>
    <w:rsid w:val="008401C3"/>
    <w:rsid w:val="008404D7"/>
    <w:rsid w:val="00840634"/>
    <w:rsid w:val="00840A68"/>
    <w:rsid w:val="00840A83"/>
    <w:rsid w:val="00840D46"/>
    <w:rsid w:val="00841573"/>
    <w:rsid w:val="0084166C"/>
    <w:rsid w:val="008419A1"/>
    <w:rsid w:val="00841EE6"/>
    <w:rsid w:val="00841FA0"/>
    <w:rsid w:val="00842061"/>
    <w:rsid w:val="0084239E"/>
    <w:rsid w:val="0084296C"/>
    <w:rsid w:val="00842B49"/>
    <w:rsid w:val="00842DB7"/>
    <w:rsid w:val="0084387F"/>
    <w:rsid w:val="00843AFD"/>
    <w:rsid w:val="00843B2C"/>
    <w:rsid w:val="008444F8"/>
    <w:rsid w:val="008445D2"/>
    <w:rsid w:val="00844750"/>
    <w:rsid w:val="00844864"/>
    <w:rsid w:val="00845A92"/>
    <w:rsid w:val="00845F51"/>
    <w:rsid w:val="00846106"/>
    <w:rsid w:val="00846273"/>
    <w:rsid w:val="00846467"/>
    <w:rsid w:val="00846661"/>
    <w:rsid w:val="00846874"/>
    <w:rsid w:val="00846AC4"/>
    <w:rsid w:val="00846C77"/>
    <w:rsid w:val="00846E99"/>
    <w:rsid w:val="008470A4"/>
    <w:rsid w:val="00847964"/>
    <w:rsid w:val="00847991"/>
    <w:rsid w:val="00847C4E"/>
    <w:rsid w:val="00847F69"/>
    <w:rsid w:val="00850AE8"/>
    <w:rsid w:val="00850B13"/>
    <w:rsid w:val="00851B22"/>
    <w:rsid w:val="00852338"/>
    <w:rsid w:val="008523A3"/>
    <w:rsid w:val="00852AA6"/>
    <w:rsid w:val="00853C45"/>
    <w:rsid w:val="00854090"/>
    <w:rsid w:val="008540C8"/>
    <w:rsid w:val="00854983"/>
    <w:rsid w:val="00854A0C"/>
    <w:rsid w:val="00854A91"/>
    <w:rsid w:val="00854E0E"/>
    <w:rsid w:val="00855CA7"/>
    <w:rsid w:val="00856301"/>
    <w:rsid w:val="008569DF"/>
    <w:rsid w:val="00856C75"/>
    <w:rsid w:val="00856D2B"/>
    <w:rsid w:val="00856E4A"/>
    <w:rsid w:val="0085722A"/>
    <w:rsid w:val="00857686"/>
    <w:rsid w:val="00857C34"/>
    <w:rsid w:val="008600FD"/>
    <w:rsid w:val="0086037F"/>
    <w:rsid w:val="008604E6"/>
    <w:rsid w:val="0086067F"/>
    <w:rsid w:val="00860840"/>
    <w:rsid w:val="00860A4B"/>
    <w:rsid w:val="00860BAC"/>
    <w:rsid w:val="008611A3"/>
    <w:rsid w:val="00861750"/>
    <w:rsid w:val="00861B41"/>
    <w:rsid w:val="00861D65"/>
    <w:rsid w:val="00861DA1"/>
    <w:rsid w:val="00861EC0"/>
    <w:rsid w:val="008620C2"/>
    <w:rsid w:val="00862173"/>
    <w:rsid w:val="00862290"/>
    <w:rsid w:val="00862558"/>
    <w:rsid w:val="008626B0"/>
    <w:rsid w:val="00862988"/>
    <w:rsid w:val="00862A4E"/>
    <w:rsid w:val="00862BA2"/>
    <w:rsid w:val="00863096"/>
    <w:rsid w:val="00863479"/>
    <w:rsid w:val="00863AA0"/>
    <w:rsid w:val="00864A9F"/>
    <w:rsid w:val="00864C02"/>
    <w:rsid w:val="00864F2D"/>
    <w:rsid w:val="008650AB"/>
    <w:rsid w:val="00865696"/>
    <w:rsid w:val="00865D02"/>
    <w:rsid w:val="00865D4C"/>
    <w:rsid w:val="00865DE1"/>
    <w:rsid w:val="00866BFD"/>
    <w:rsid w:val="00866FEA"/>
    <w:rsid w:val="00867255"/>
    <w:rsid w:val="008678F0"/>
    <w:rsid w:val="00870018"/>
    <w:rsid w:val="00870637"/>
    <w:rsid w:val="00870793"/>
    <w:rsid w:val="00870869"/>
    <w:rsid w:val="008708B4"/>
    <w:rsid w:val="00870A1C"/>
    <w:rsid w:val="00871029"/>
    <w:rsid w:val="00871096"/>
    <w:rsid w:val="00871171"/>
    <w:rsid w:val="008711F8"/>
    <w:rsid w:val="00871372"/>
    <w:rsid w:val="00871D14"/>
    <w:rsid w:val="008722B0"/>
    <w:rsid w:val="0087250F"/>
    <w:rsid w:val="00872C7C"/>
    <w:rsid w:val="00872D63"/>
    <w:rsid w:val="00872F39"/>
    <w:rsid w:val="00873463"/>
    <w:rsid w:val="008734E7"/>
    <w:rsid w:val="00873BF0"/>
    <w:rsid w:val="00873C85"/>
    <w:rsid w:val="008742CE"/>
    <w:rsid w:val="00874E33"/>
    <w:rsid w:val="00874FAC"/>
    <w:rsid w:val="0087504C"/>
    <w:rsid w:val="00875755"/>
    <w:rsid w:val="00875905"/>
    <w:rsid w:val="00875F79"/>
    <w:rsid w:val="00875FBD"/>
    <w:rsid w:val="00876AC7"/>
    <w:rsid w:val="0087763F"/>
    <w:rsid w:val="00877640"/>
    <w:rsid w:val="00877C45"/>
    <w:rsid w:val="00877C57"/>
    <w:rsid w:val="00877FA3"/>
    <w:rsid w:val="008804C9"/>
    <w:rsid w:val="00880D84"/>
    <w:rsid w:val="00880E95"/>
    <w:rsid w:val="008810DF"/>
    <w:rsid w:val="008810FA"/>
    <w:rsid w:val="00881842"/>
    <w:rsid w:val="008819A5"/>
    <w:rsid w:val="00881F28"/>
    <w:rsid w:val="008829DC"/>
    <w:rsid w:val="00882BB1"/>
    <w:rsid w:val="00882C9C"/>
    <w:rsid w:val="00883004"/>
    <w:rsid w:val="00883ADF"/>
    <w:rsid w:val="00883ED6"/>
    <w:rsid w:val="00884255"/>
    <w:rsid w:val="0088425B"/>
    <w:rsid w:val="00884264"/>
    <w:rsid w:val="00884AD8"/>
    <w:rsid w:val="00884CDF"/>
    <w:rsid w:val="0088579F"/>
    <w:rsid w:val="00885D5D"/>
    <w:rsid w:val="00885D62"/>
    <w:rsid w:val="00885EC9"/>
    <w:rsid w:val="00885F46"/>
    <w:rsid w:val="00885F7A"/>
    <w:rsid w:val="00886223"/>
    <w:rsid w:val="0088651F"/>
    <w:rsid w:val="0088697F"/>
    <w:rsid w:val="00887472"/>
    <w:rsid w:val="008876DF"/>
    <w:rsid w:val="00887771"/>
    <w:rsid w:val="00887FEF"/>
    <w:rsid w:val="008907B2"/>
    <w:rsid w:val="00890BCD"/>
    <w:rsid w:val="00890E0D"/>
    <w:rsid w:val="00890F04"/>
    <w:rsid w:val="00890FBE"/>
    <w:rsid w:val="00891F63"/>
    <w:rsid w:val="00892253"/>
    <w:rsid w:val="008922DF"/>
    <w:rsid w:val="00893024"/>
    <w:rsid w:val="0089302F"/>
    <w:rsid w:val="00893B3B"/>
    <w:rsid w:val="00893BA4"/>
    <w:rsid w:val="00893DB3"/>
    <w:rsid w:val="00894790"/>
    <w:rsid w:val="008948A0"/>
    <w:rsid w:val="00894A2E"/>
    <w:rsid w:val="00894ADC"/>
    <w:rsid w:val="00894F78"/>
    <w:rsid w:val="00895243"/>
    <w:rsid w:val="00895A0C"/>
    <w:rsid w:val="00895AA1"/>
    <w:rsid w:val="00895E55"/>
    <w:rsid w:val="008961A5"/>
    <w:rsid w:val="008965CC"/>
    <w:rsid w:val="0089699C"/>
    <w:rsid w:val="00896D10"/>
    <w:rsid w:val="00896DF5"/>
    <w:rsid w:val="00896FD8"/>
    <w:rsid w:val="00897082"/>
    <w:rsid w:val="008970F6"/>
    <w:rsid w:val="008971DB"/>
    <w:rsid w:val="008972CB"/>
    <w:rsid w:val="008975C4"/>
    <w:rsid w:val="00897FA7"/>
    <w:rsid w:val="008A0173"/>
    <w:rsid w:val="008A0339"/>
    <w:rsid w:val="008A03A0"/>
    <w:rsid w:val="008A0473"/>
    <w:rsid w:val="008A04C7"/>
    <w:rsid w:val="008A1C65"/>
    <w:rsid w:val="008A1EA1"/>
    <w:rsid w:val="008A1FBC"/>
    <w:rsid w:val="008A24BD"/>
    <w:rsid w:val="008A288A"/>
    <w:rsid w:val="008A294D"/>
    <w:rsid w:val="008A2AAE"/>
    <w:rsid w:val="008A2F26"/>
    <w:rsid w:val="008A36ED"/>
    <w:rsid w:val="008A3898"/>
    <w:rsid w:val="008A39E2"/>
    <w:rsid w:val="008A42D8"/>
    <w:rsid w:val="008A457F"/>
    <w:rsid w:val="008A47BC"/>
    <w:rsid w:val="008A4DAC"/>
    <w:rsid w:val="008A4E04"/>
    <w:rsid w:val="008A53C3"/>
    <w:rsid w:val="008A5846"/>
    <w:rsid w:val="008A59E9"/>
    <w:rsid w:val="008A5AB1"/>
    <w:rsid w:val="008A5FE7"/>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0EB"/>
    <w:rsid w:val="008B3779"/>
    <w:rsid w:val="008B3E81"/>
    <w:rsid w:val="008B41EF"/>
    <w:rsid w:val="008B4230"/>
    <w:rsid w:val="008B447F"/>
    <w:rsid w:val="008B44A9"/>
    <w:rsid w:val="008B4A4A"/>
    <w:rsid w:val="008B4B0D"/>
    <w:rsid w:val="008B4B33"/>
    <w:rsid w:val="008B5448"/>
    <w:rsid w:val="008B5577"/>
    <w:rsid w:val="008B60ED"/>
    <w:rsid w:val="008B66CB"/>
    <w:rsid w:val="008B6E5C"/>
    <w:rsid w:val="008B6EEA"/>
    <w:rsid w:val="008C1161"/>
    <w:rsid w:val="008C18DB"/>
    <w:rsid w:val="008C2135"/>
    <w:rsid w:val="008C2236"/>
    <w:rsid w:val="008C2426"/>
    <w:rsid w:val="008C2453"/>
    <w:rsid w:val="008C26B4"/>
    <w:rsid w:val="008C2767"/>
    <w:rsid w:val="008C2BC8"/>
    <w:rsid w:val="008C4B47"/>
    <w:rsid w:val="008C4D56"/>
    <w:rsid w:val="008C570A"/>
    <w:rsid w:val="008C59D5"/>
    <w:rsid w:val="008C5B10"/>
    <w:rsid w:val="008C6970"/>
    <w:rsid w:val="008C69DC"/>
    <w:rsid w:val="008C6C7A"/>
    <w:rsid w:val="008C6D71"/>
    <w:rsid w:val="008C6F4F"/>
    <w:rsid w:val="008C6F9B"/>
    <w:rsid w:val="008C6FA2"/>
    <w:rsid w:val="008C7245"/>
    <w:rsid w:val="008C74CC"/>
    <w:rsid w:val="008C7652"/>
    <w:rsid w:val="008C76D5"/>
    <w:rsid w:val="008C7F77"/>
    <w:rsid w:val="008D0459"/>
    <w:rsid w:val="008D05D2"/>
    <w:rsid w:val="008D069D"/>
    <w:rsid w:val="008D0A7A"/>
    <w:rsid w:val="008D0B27"/>
    <w:rsid w:val="008D133B"/>
    <w:rsid w:val="008D13DC"/>
    <w:rsid w:val="008D149D"/>
    <w:rsid w:val="008D1988"/>
    <w:rsid w:val="008D1E23"/>
    <w:rsid w:val="008D2209"/>
    <w:rsid w:val="008D2461"/>
    <w:rsid w:val="008D2CFC"/>
    <w:rsid w:val="008D2DA4"/>
    <w:rsid w:val="008D3208"/>
    <w:rsid w:val="008D399A"/>
    <w:rsid w:val="008D4318"/>
    <w:rsid w:val="008D453F"/>
    <w:rsid w:val="008D508F"/>
    <w:rsid w:val="008D538D"/>
    <w:rsid w:val="008D5879"/>
    <w:rsid w:val="008D592F"/>
    <w:rsid w:val="008D5FCD"/>
    <w:rsid w:val="008D6255"/>
    <w:rsid w:val="008D65B3"/>
    <w:rsid w:val="008D6733"/>
    <w:rsid w:val="008D6BDB"/>
    <w:rsid w:val="008D6E70"/>
    <w:rsid w:val="008D6F90"/>
    <w:rsid w:val="008D7554"/>
    <w:rsid w:val="008D7615"/>
    <w:rsid w:val="008D76A0"/>
    <w:rsid w:val="008D7787"/>
    <w:rsid w:val="008D78FC"/>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B47"/>
    <w:rsid w:val="008E2C9C"/>
    <w:rsid w:val="008E2E43"/>
    <w:rsid w:val="008E2E8C"/>
    <w:rsid w:val="008E378A"/>
    <w:rsid w:val="008E3F52"/>
    <w:rsid w:val="008E412D"/>
    <w:rsid w:val="008E451A"/>
    <w:rsid w:val="008E48FD"/>
    <w:rsid w:val="008E4CA5"/>
    <w:rsid w:val="008E52DD"/>
    <w:rsid w:val="008E5412"/>
    <w:rsid w:val="008E5625"/>
    <w:rsid w:val="008E5B5F"/>
    <w:rsid w:val="008E5D5A"/>
    <w:rsid w:val="008E624A"/>
    <w:rsid w:val="008E6788"/>
    <w:rsid w:val="008E743E"/>
    <w:rsid w:val="008E7684"/>
    <w:rsid w:val="008E76C6"/>
    <w:rsid w:val="008E7DB3"/>
    <w:rsid w:val="008E7F9D"/>
    <w:rsid w:val="008F0090"/>
    <w:rsid w:val="008F01AB"/>
    <w:rsid w:val="008F044C"/>
    <w:rsid w:val="008F0460"/>
    <w:rsid w:val="008F06E5"/>
    <w:rsid w:val="008F0BA6"/>
    <w:rsid w:val="008F0FC8"/>
    <w:rsid w:val="008F1CF8"/>
    <w:rsid w:val="008F211C"/>
    <w:rsid w:val="008F2201"/>
    <w:rsid w:val="008F2A8C"/>
    <w:rsid w:val="008F2AE7"/>
    <w:rsid w:val="008F3069"/>
    <w:rsid w:val="008F35F6"/>
    <w:rsid w:val="008F38CA"/>
    <w:rsid w:val="008F3D2D"/>
    <w:rsid w:val="008F3D7C"/>
    <w:rsid w:val="008F3DC9"/>
    <w:rsid w:val="008F4107"/>
    <w:rsid w:val="008F4B0F"/>
    <w:rsid w:val="008F4BFE"/>
    <w:rsid w:val="008F4E3F"/>
    <w:rsid w:val="008F5406"/>
    <w:rsid w:val="008F5461"/>
    <w:rsid w:val="008F5866"/>
    <w:rsid w:val="008F595E"/>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1F3"/>
    <w:rsid w:val="009012ED"/>
    <w:rsid w:val="00901837"/>
    <w:rsid w:val="00901845"/>
    <w:rsid w:val="00901B88"/>
    <w:rsid w:val="009022BC"/>
    <w:rsid w:val="0090255A"/>
    <w:rsid w:val="00902686"/>
    <w:rsid w:val="00902734"/>
    <w:rsid w:val="00903281"/>
    <w:rsid w:val="00903F0F"/>
    <w:rsid w:val="00903F59"/>
    <w:rsid w:val="009045C7"/>
    <w:rsid w:val="0090480E"/>
    <w:rsid w:val="00904A62"/>
    <w:rsid w:val="00904B6D"/>
    <w:rsid w:val="00904D35"/>
    <w:rsid w:val="00904E71"/>
    <w:rsid w:val="00904F2B"/>
    <w:rsid w:val="00905A06"/>
    <w:rsid w:val="00905BC8"/>
    <w:rsid w:val="00905F49"/>
    <w:rsid w:val="00906100"/>
    <w:rsid w:val="0090672A"/>
    <w:rsid w:val="009067B8"/>
    <w:rsid w:val="00906EED"/>
    <w:rsid w:val="00907071"/>
    <w:rsid w:val="0090715C"/>
    <w:rsid w:val="009076AC"/>
    <w:rsid w:val="00907BEE"/>
    <w:rsid w:val="00910874"/>
    <w:rsid w:val="009108A7"/>
    <w:rsid w:val="009111DD"/>
    <w:rsid w:val="009112C7"/>
    <w:rsid w:val="00911A5A"/>
    <w:rsid w:val="00911E1A"/>
    <w:rsid w:val="0091225D"/>
    <w:rsid w:val="009123B9"/>
    <w:rsid w:val="00912A63"/>
    <w:rsid w:val="00912A96"/>
    <w:rsid w:val="00912F6D"/>
    <w:rsid w:val="00913AF7"/>
    <w:rsid w:val="00913B67"/>
    <w:rsid w:val="00913F4C"/>
    <w:rsid w:val="0091404B"/>
    <w:rsid w:val="009140A5"/>
    <w:rsid w:val="00914215"/>
    <w:rsid w:val="0091423A"/>
    <w:rsid w:val="00914445"/>
    <w:rsid w:val="009146B0"/>
    <w:rsid w:val="00914A5D"/>
    <w:rsid w:val="00915032"/>
    <w:rsid w:val="00915143"/>
    <w:rsid w:val="009151C0"/>
    <w:rsid w:val="0091537E"/>
    <w:rsid w:val="00915399"/>
    <w:rsid w:val="009154BD"/>
    <w:rsid w:val="00915570"/>
    <w:rsid w:val="009156C5"/>
    <w:rsid w:val="0091610F"/>
    <w:rsid w:val="009161BA"/>
    <w:rsid w:val="00917E0A"/>
    <w:rsid w:val="0092078E"/>
    <w:rsid w:val="00920848"/>
    <w:rsid w:val="00920B0E"/>
    <w:rsid w:val="009216BF"/>
    <w:rsid w:val="009218D2"/>
    <w:rsid w:val="00921A44"/>
    <w:rsid w:val="00921A74"/>
    <w:rsid w:val="00921C9F"/>
    <w:rsid w:val="00921ED5"/>
    <w:rsid w:val="00921FA1"/>
    <w:rsid w:val="00921FC2"/>
    <w:rsid w:val="009225B6"/>
    <w:rsid w:val="00922815"/>
    <w:rsid w:val="00923151"/>
    <w:rsid w:val="009235CF"/>
    <w:rsid w:val="00923821"/>
    <w:rsid w:val="00924108"/>
    <w:rsid w:val="0092507E"/>
    <w:rsid w:val="009250C2"/>
    <w:rsid w:val="00925267"/>
    <w:rsid w:val="00925570"/>
    <w:rsid w:val="00925579"/>
    <w:rsid w:val="00925836"/>
    <w:rsid w:val="009259E2"/>
    <w:rsid w:val="00925B5F"/>
    <w:rsid w:val="00925B66"/>
    <w:rsid w:val="00925DD1"/>
    <w:rsid w:val="009260EC"/>
    <w:rsid w:val="00926264"/>
    <w:rsid w:val="00926595"/>
    <w:rsid w:val="0092686F"/>
    <w:rsid w:val="0092698B"/>
    <w:rsid w:val="009269EB"/>
    <w:rsid w:val="00927232"/>
    <w:rsid w:val="00927522"/>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2F7F"/>
    <w:rsid w:val="00933D61"/>
    <w:rsid w:val="00933DE4"/>
    <w:rsid w:val="00934044"/>
    <w:rsid w:val="00934747"/>
    <w:rsid w:val="0093485A"/>
    <w:rsid w:val="00934FFD"/>
    <w:rsid w:val="009359C0"/>
    <w:rsid w:val="00935B52"/>
    <w:rsid w:val="009360F7"/>
    <w:rsid w:val="0093634D"/>
    <w:rsid w:val="0093672B"/>
    <w:rsid w:val="00936B8C"/>
    <w:rsid w:val="00936D07"/>
    <w:rsid w:val="009370A6"/>
    <w:rsid w:val="009373C5"/>
    <w:rsid w:val="00937AC7"/>
    <w:rsid w:val="00937D15"/>
    <w:rsid w:val="00940A5D"/>
    <w:rsid w:val="00940BCB"/>
    <w:rsid w:val="00940D76"/>
    <w:rsid w:val="00940D85"/>
    <w:rsid w:val="00940DF4"/>
    <w:rsid w:val="00940FB5"/>
    <w:rsid w:val="00941259"/>
    <w:rsid w:val="0094148B"/>
    <w:rsid w:val="00941A1C"/>
    <w:rsid w:val="00941B97"/>
    <w:rsid w:val="00941E13"/>
    <w:rsid w:val="009421B3"/>
    <w:rsid w:val="0094267F"/>
    <w:rsid w:val="00942A7F"/>
    <w:rsid w:val="00942BB8"/>
    <w:rsid w:val="00942BC8"/>
    <w:rsid w:val="00942E21"/>
    <w:rsid w:val="00942EF9"/>
    <w:rsid w:val="0094335F"/>
    <w:rsid w:val="0094376F"/>
    <w:rsid w:val="00944202"/>
    <w:rsid w:val="00944335"/>
    <w:rsid w:val="0094484A"/>
    <w:rsid w:val="00944AF4"/>
    <w:rsid w:val="00945E49"/>
    <w:rsid w:val="009462D8"/>
    <w:rsid w:val="00946388"/>
    <w:rsid w:val="0094663A"/>
    <w:rsid w:val="00946AA5"/>
    <w:rsid w:val="00946C4B"/>
    <w:rsid w:val="009478ED"/>
    <w:rsid w:val="009479E5"/>
    <w:rsid w:val="00950781"/>
    <w:rsid w:val="009509D7"/>
    <w:rsid w:val="00950B09"/>
    <w:rsid w:val="00950DD1"/>
    <w:rsid w:val="00950FFB"/>
    <w:rsid w:val="0095130F"/>
    <w:rsid w:val="00951417"/>
    <w:rsid w:val="0095154C"/>
    <w:rsid w:val="0095183E"/>
    <w:rsid w:val="00951995"/>
    <w:rsid w:val="00951C7E"/>
    <w:rsid w:val="00951CF6"/>
    <w:rsid w:val="00952ACA"/>
    <w:rsid w:val="00952C70"/>
    <w:rsid w:val="00952FA0"/>
    <w:rsid w:val="00953424"/>
    <w:rsid w:val="009537A7"/>
    <w:rsid w:val="00953B1F"/>
    <w:rsid w:val="00953C21"/>
    <w:rsid w:val="009548C3"/>
    <w:rsid w:val="00954BFC"/>
    <w:rsid w:val="00954E67"/>
    <w:rsid w:val="0095506D"/>
    <w:rsid w:val="009551B9"/>
    <w:rsid w:val="009555E2"/>
    <w:rsid w:val="009557DF"/>
    <w:rsid w:val="00955A2E"/>
    <w:rsid w:val="00955B1F"/>
    <w:rsid w:val="00955C57"/>
    <w:rsid w:val="00955D2B"/>
    <w:rsid w:val="00955D6A"/>
    <w:rsid w:val="00955E8D"/>
    <w:rsid w:val="00956101"/>
    <w:rsid w:val="00956957"/>
    <w:rsid w:val="009573C6"/>
    <w:rsid w:val="009573C8"/>
    <w:rsid w:val="00957487"/>
    <w:rsid w:val="00957818"/>
    <w:rsid w:val="00957B6B"/>
    <w:rsid w:val="00957D9C"/>
    <w:rsid w:val="00957E93"/>
    <w:rsid w:val="009603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3F73"/>
    <w:rsid w:val="00964E3C"/>
    <w:rsid w:val="00964E69"/>
    <w:rsid w:val="0096504D"/>
    <w:rsid w:val="009654F0"/>
    <w:rsid w:val="009659EA"/>
    <w:rsid w:val="0096691D"/>
    <w:rsid w:val="00966EC4"/>
    <w:rsid w:val="0096766C"/>
    <w:rsid w:val="00967851"/>
    <w:rsid w:val="00967D2D"/>
    <w:rsid w:val="00970F7A"/>
    <w:rsid w:val="00970FE3"/>
    <w:rsid w:val="00971C7D"/>
    <w:rsid w:val="00971EC5"/>
    <w:rsid w:val="00971F6B"/>
    <w:rsid w:val="00971FCC"/>
    <w:rsid w:val="00972562"/>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4FF"/>
    <w:rsid w:val="00974520"/>
    <w:rsid w:val="00974B9F"/>
    <w:rsid w:val="00974EBD"/>
    <w:rsid w:val="00974FB0"/>
    <w:rsid w:val="009751BA"/>
    <w:rsid w:val="0097539E"/>
    <w:rsid w:val="0097577E"/>
    <w:rsid w:val="0097584E"/>
    <w:rsid w:val="009765CF"/>
    <w:rsid w:val="00976989"/>
    <w:rsid w:val="00976D1B"/>
    <w:rsid w:val="00976FFB"/>
    <w:rsid w:val="00977852"/>
    <w:rsid w:val="009778AB"/>
    <w:rsid w:val="00980403"/>
    <w:rsid w:val="009804CB"/>
    <w:rsid w:val="009809DD"/>
    <w:rsid w:val="00980ACA"/>
    <w:rsid w:val="00980D29"/>
    <w:rsid w:val="00980F14"/>
    <w:rsid w:val="00981BAF"/>
    <w:rsid w:val="00981D66"/>
    <w:rsid w:val="00981E33"/>
    <w:rsid w:val="00981FCE"/>
    <w:rsid w:val="00982314"/>
    <w:rsid w:val="00982768"/>
    <w:rsid w:val="00982773"/>
    <w:rsid w:val="00982AB4"/>
    <w:rsid w:val="00982E67"/>
    <w:rsid w:val="00983007"/>
    <w:rsid w:val="00983061"/>
    <w:rsid w:val="00983223"/>
    <w:rsid w:val="009836DE"/>
    <w:rsid w:val="009838CE"/>
    <w:rsid w:val="00983B9C"/>
    <w:rsid w:val="00983BD1"/>
    <w:rsid w:val="00983C41"/>
    <w:rsid w:val="00984206"/>
    <w:rsid w:val="009846DE"/>
    <w:rsid w:val="00984C8E"/>
    <w:rsid w:val="00984E26"/>
    <w:rsid w:val="0098511E"/>
    <w:rsid w:val="00985133"/>
    <w:rsid w:val="0098541D"/>
    <w:rsid w:val="00985BA2"/>
    <w:rsid w:val="00985CA4"/>
    <w:rsid w:val="00986956"/>
    <w:rsid w:val="00986B31"/>
    <w:rsid w:val="009873AF"/>
    <w:rsid w:val="009875A6"/>
    <w:rsid w:val="009876A0"/>
    <w:rsid w:val="009879B5"/>
    <w:rsid w:val="009879F4"/>
    <w:rsid w:val="00987A56"/>
    <w:rsid w:val="00987E33"/>
    <w:rsid w:val="0099005F"/>
    <w:rsid w:val="00990E93"/>
    <w:rsid w:val="009917F3"/>
    <w:rsid w:val="00991F39"/>
    <w:rsid w:val="0099256F"/>
    <w:rsid w:val="00992624"/>
    <w:rsid w:val="009927C4"/>
    <w:rsid w:val="00992A4E"/>
    <w:rsid w:val="00992ED6"/>
    <w:rsid w:val="00993075"/>
    <w:rsid w:val="009930C0"/>
    <w:rsid w:val="0099324C"/>
    <w:rsid w:val="00993627"/>
    <w:rsid w:val="0099367D"/>
    <w:rsid w:val="009936F0"/>
    <w:rsid w:val="0099464F"/>
    <w:rsid w:val="00994D59"/>
    <w:rsid w:val="009951AB"/>
    <w:rsid w:val="0099531F"/>
    <w:rsid w:val="00995360"/>
    <w:rsid w:val="009954AD"/>
    <w:rsid w:val="0099647E"/>
    <w:rsid w:val="00996A8B"/>
    <w:rsid w:val="00996CD4"/>
    <w:rsid w:val="00997033"/>
    <w:rsid w:val="0099731A"/>
    <w:rsid w:val="009975D0"/>
    <w:rsid w:val="009979D6"/>
    <w:rsid w:val="00997CA3"/>
    <w:rsid w:val="009A0212"/>
    <w:rsid w:val="009A031F"/>
    <w:rsid w:val="009A0C1F"/>
    <w:rsid w:val="009A12A5"/>
    <w:rsid w:val="009A1DFF"/>
    <w:rsid w:val="009A1E8A"/>
    <w:rsid w:val="009A2144"/>
    <w:rsid w:val="009A246A"/>
    <w:rsid w:val="009A3183"/>
    <w:rsid w:val="009A32D7"/>
    <w:rsid w:val="009A3576"/>
    <w:rsid w:val="009A3A6D"/>
    <w:rsid w:val="009A3AB5"/>
    <w:rsid w:val="009A3BA5"/>
    <w:rsid w:val="009A4AA9"/>
    <w:rsid w:val="009A4EA0"/>
    <w:rsid w:val="009A516A"/>
    <w:rsid w:val="009A5434"/>
    <w:rsid w:val="009A56A7"/>
    <w:rsid w:val="009A5EF9"/>
    <w:rsid w:val="009A6127"/>
    <w:rsid w:val="009A62DC"/>
    <w:rsid w:val="009A637B"/>
    <w:rsid w:val="009A6456"/>
    <w:rsid w:val="009A6C74"/>
    <w:rsid w:val="009A6EE7"/>
    <w:rsid w:val="009A7154"/>
    <w:rsid w:val="009A78D1"/>
    <w:rsid w:val="009A7DFB"/>
    <w:rsid w:val="009A7E08"/>
    <w:rsid w:val="009B003C"/>
    <w:rsid w:val="009B1823"/>
    <w:rsid w:val="009B2E47"/>
    <w:rsid w:val="009B3685"/>
    <w:rsid w:val="009B3745"/>
    <w:rsid w:val="009B3C79"/>
    <w:rsid w:val="009B3D47"/>
    <w:rsid w:val="009B4250"/>
    <w:rsid w:val="009B4821"/>
    <w:rsid w:val="009B4C1C"/>
    <w:rsid w:val="009B4C24"/>
    <w:rsid w:val="009B5821"/>
    <w:rsid w:val="009B70E9"/>
    <w:rsid w:val="009B719B"/>
    <w:rsid w:val="009B7564"/>
    <w:rsid w:val="009B7BB7"/>
    <w:rsid w:val="009B7D5C"/>
    <w:rsid w:val="009B7DF5"/>
    <w:rsid w:val="009B7FFA"/>
    <w:rsid w:val="009C00EF"/>
    <w:rsid w:val="009C0BC1"/>
    <w:rsid w:val="009C0DBE"/>
    <w:rsid w:val="009C1035"/>
    <w:rsid w:val="009C19BC"/>
    <w:rsid w:val="009C19D2"/>
    <w:rsid w:val="009C1BF9"/>
    <w:rsid w:val="009C1D4B"/>
    <w:rsid w:val="009C1E0C"/>
    <w:rsid w:val="009C206F"/>
    <w:rsid w:val="009C281C"/>
    <w:rsid w:val="009C2AB0"/>
    <w:rsid w:val="009C2B1C"/>
    <w:rsid w:val="009C3D88"/>
    <w:rsid w:val="009C42A3"/>
    <w:rsid w:val="009C4B76"/>
    <w:rsid w:val="009C509F"/>
    <w:rsid w:val="009C520B"/>
    <w:rsid w:val="009C5785"/>
    <w:rsid w:val="009C5874"/>
    <w:rsid w:val="009C6768"/>
    <w:rsid w:val="009C6894"/>
    <w:rsid w:val="009C6B3B"/>
    <w:rsid w:val="009C6B7B"/>
    <w:rsid w:val="009C6E93"/>
    <w:rsid w:val="009C73C4"/>
    <w:rsid w:val="009C7CE4"/>
    <w:rsid w:val="009C7F47"/>
    <w:rsid w:val="009D008A"/>
    <w:rsid w:val="009D0361"/>
    <w:rsid w:val="009D0720"/>
    <w:rsid w:val="009D0C8D"/>
    <w:rsid w:val="009D1342"/>
    <w:rsid w:val="009D15EA"/>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BBF"/>
    <w:rsid w:val="009D610C"/>
    <w:rsid w:val="009D62E7"/>
    <w:rsid w:val="009D6624"/>
    <w:rsid w:val="009D6BF6"/>
    <w:rsid w:val="009D6D66"/>
    <w:rsid w:val="009D6F4D"/>
    <w:rsid w:val="009D75A4"/>
    <w:rsid w:val="009D785E"/>
    <w:rsid w:val="009E04A9"/>
    <w:rsid w:val="009E04FB"/>
    <w:rsid w:val="009E0871"/>
    <w:rsid w:val="009E1012"/>
    <w:rsid w:val="009E1137"/>
    <w:rsid w:val="009E176B"/>
    <w:rsid w:val="009E1952"/>
    <w:rsid w:val="009E1E2C"/>
    <w:rsid w:val="009E1F70"/>
    <w:rsid w:val="009E21A4"/>
    <w:rsid w:val="009E2234"/>
    <w:rsid w:val="009E2BE6"/>
    <w:rsid w:val="009E2CB8"/>
    <w:rsid w:val="009E2DD3"/>
    <w:rsid w:val="009E2EAE"/>
    <w:rsid w:val="009E2F97"/>
    <w:rsid w:val="009E3644"/>
    <w:rsid w:val="009E3759"/>
    <w:rsid w:val="009E3790"/>
    <w:rsid w:val="009E3C31"/>
    <w:rsid w:val="009E3E19"/>
    <w:rsid w:val="009E457F"/>
    <w:rsid w:val="009E4FCC"/>
    <w:rsid w:val="009E5656"/>
    <w:rsid w:val="009E5AB4"/>
    <w:rsid w:val="009E60C7"/>
    <w:rsid w:val="009E641D"/>
    <w:rsid w:val="009E6463"/>
    <w:rsid w:val="009E6A64"/>
    <w:rsid w:val="009E6FBA"/>
    <w:rsid w:val="009E6FC8"/>
    <w:rsid w:val="009E73D9"/>
    <w:rsid w:val="009E7789"/>
    <w:rsid w:val="009E7E9B"/>
    <w:rsid w:val="009F0258"/>
    <w:rsid w:val="009F02E1"/>
    <w:rsid w:val="009F056D"/>
    <w:rsid w:val="009F07FC"/>
    <w:rsid w:val="009F0992"/>
    <w:rsid w:val="009F0CD1"/>
    <w:rsid w:val="009F187B"/>
    <w:rsid w:val="009F1933"/>
    <w:rsid w:val="009F26C0"/>
    <w:rsid w:val="009F2A94"/>
    <w:rsid w:val="009F2AAF"/>
    <w:rsid w:val="009F2E7E"/>
    <w:rsid w:val="009F3A4B"/>
    <w:rsid w:val="009F4196"/>
    <w:rsid w:val="009F41E1"/>
    <w:rsid w:val="009F4375"/>
    <w:rsid w:val="009F483A"/>
    <w:rsid w:val="009F4F05"/>
    <w:rsid w:val="009F5606"/>
    <w:rsid w:val="009F5902"/>
    <w:rsid w:val="009F5CA4"/>
    <w:rsid w:val="009F6410"/>
    <w:rsid w:val="009F6457"/>
    <w:rsid w:val="009F7169"/>
    <w:rsid w:val="009F7465"/>
    <w:rsid w:val="009F7883"/>
    <w:rsid w:val="009F79BE"/>
    <w:rsid w:val="009F7C2E"/>
    <w:rsid w:val="00A0018E"/>
    <w:rsid w:val="00A004F2"/>
    <w:rsid w:val="00A00B60"/>
    <w:rsid w:val="00A01006"/>
    <w:rsid w:val="00A02B26"/>
    <w:rsid w:val="00A02BEC"/>
    <w:rsid w:val="00A02C96"/>
    <w:rsid w:val="00A02D52"/>
    <w:rsid w:val="00A02FBC"/>
    <w:rsid w:val="00A03A1D"/>
    <w:rsid w:val="00A043B9"/>
    <w:rsid w:val="00A04541"/>
    <w:rsid w:val="00A0461B"/>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B16"/>
    <w:rsid w:val="00A10230"/>
    <w:rsid w:val="00A105DB"/>
    <w:rsid w:val="00A106FE"/>
    <w:rsid w:val="00A107B6"/>
    <w:rsid w:val="00A10B48"/>
    <w:rsid w:val="00A114B5"/>
    <w:rsid w:val="00A115BF"/>
    <w:rsid w:val="00A1196F"/>
    <w:rsid w:val="00A1197E"/>
    <w:rsid w:val="00A11A89"/>
    <w:rsid w:val="00A11ACA"/>
    <w:rsid w:val="00A11DF9"/>
    <w:rsid w:val="00A11E0F"/>
    <w:rsid w:val="00A12206"/>
    <w:rsid w:val="00A12301"/>
    <w:rsid w:val="00A12929"/>
    <w:rsid w:val="00A12A73"/>
    <w:rsid w:val="00A12BEE"/>
    <w:rsid w:val="00A12DC4"/>
    <w:rsid w:val="00A12EE8"/>
    <w:rsid w:val="00A131A4"/>
    <w:rsid w:val="00A13299"/>
    <w:rsid w:val="00A13715"/>
    <w:rsid w:val="00A13A66"/>
    <w:rsid w:val="00A13B10"/>
    <w:rsid w:val="00A13CF1"/>
    <w:rsid w:val="00A145D0"/>
    <w:rsid w:val="00A157EC"/>
    <w:rsid w:val="00A158D3"/>
    <w:rsid w:val="00A15A89"/>
    <w:rsid w:val="00A15F2F"/>
    <w:rsid w:val="00A16150"/>
    <w:rsid w:val="00A163A7"/>
    <w:rsid w:val="00A16510"/>
    <w:rsid w:val="00A1686F"/>
    <w:rsid w:val="00A17180"/>
    <w:rsid w:val="00A1731C"/>
    <w:rsid w:val="00A17345"/>
    <w:rsid w:val="00A17648"/>
    <w:rsid w:val="00A1789B"/>
    <w:rsid w:val="00A179CC"/>
    <w:rsid w:val="00A17FA0"/>
    <w:rsid w:val="00A20232"/>
    <w:rsid w:val="00A205BF"/>
    <w:rsid w:val="00A205D4"/>
    <w:rsid w:val="00A20E24"/>
    <w:rsid w:val="00A2104B"/>
    <w:rsid w:val="00A210E9"/>
    <w:rsid w:val="00A218AE"/>
    <w:rsid w:val="00A21A9D"/>
    <w:rsid w:val="00A21AAA"/>
    <w:rsid w:val="00A21E51"/>
    <w:rsid w:val="00A2208A"/>
    <w:rsid w:val="00A22132"/>
    <w:rsid w:val="00A22207"/>
    <w:rsid w:val="00A22389"/>
    <w:rsid w:val="00A2260A"/>
    <w:rsid w:val="00A22664"/>
    <w:rsid w:val="00A2322E"/>
    <w:rsid w:val="00A23243"/>
    <w:rsid w:val="00A23590"/>
    <w:rsid w:val="00A23919"/>
    <w:rsid w:val="00A23921"/>
    <w:rsid w:val="00A23E0D"/>
    <w:rsid w:val="00A24002"/>
    <w:rsid w:val="00A2470A"/>
    <w:rsid w:val="00A2481C"/>
    <w:rsid w:val="00A24CCF"/>
    <w:rsid w:val="00A25296"/>
    <w:rsid w:val="00A253C6"/>
    <w:rsid w:val="00A2585A"/>
    <w:rsid w:val="00A25B10"/>
    <w:rsid w:val="00A25BD5"/>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A44"/>
    <w:rsid w:val="00A32C37"/>
    <w:rsid w:val="00A3331F"/>
    <w:rsid w:val="00A3393A"/>
    <w:rsid w:val="00A34685"/>
    <w:rsid w:val="00A34AFB"/>
    <w:rsid w:val="00A34BE5"/>
    <w:rsid w:val="00A34DA0"/>
    <w:rsid w:val="00A35A0B"/>
    <w:rsid w:val="00A35BD0"/>
    <w:rsid w:val="00A362CB"/>
    <w:rsid w:val="00A3651A"/>
    <w:rsid w:val="00A37413"/>
    <w:rsid w:val="00A3747D"/>
    <w:rsid w:val="00A37A59"/>
    <w:rsid w:val="00A37E05"/>
    <w:rsid w:val="00A40531"/>
    <w:rsid w:val="00A40660"/>
    <w:rsid w:val="00A40C1E"/>
    <w:rsid w:val="00A41821"/>
    <w:rsid w:val="00A41C5C"/>
    <w:rsid w:val="00A41D7F"/>
    <w:rsid w:val="00A41EF0"/>
    <w:rsid w:val="00A422A2"/>
    <w:rsid w:val="00A42659"/>
    <w:rsid w:val="00A42B87"/>
    <w:rsid w:val="00A4339C"/>
    <w:rsid w:val="00A4392A"/>
    <w:rsid w:val="00A4424E"/>
    <w:rsid w:val="00A442E8"/>
    <w:rsid w:val="00A44882"/>
    <w:rsid w:val="00A44E28"/>
    <w:rsid w:val="00A44F39"/>
    <w:rsid w:val="00A45371"/>
    <w:rsid w:val="00A4570E"/>
    <w:rsid w:val="00A4579D"/>
    <w:rsid w:val="00A45A3B"/>
    <w:rsid w:val="00A45C5B"/>
    <w:rsid w:val="00A45EFA"/>
    <w:rsid w:val="00A46F5A"/>
    <w:rsid w:val="00A46FAD"/>
    <w:rsid w:val="00A47B4B"/>
    <w:rsid w:val="00A5044D"/>
    <w:rsid w:val="00A509DE"/>
    <w:rsid w:val="00A50B00"/>
    <w:rsid w:val="00A50D49"/>
    <w:rsid w:val="00A511FB"/>
    <w:rsid w:val="00A51327"/>
    <w:rsid w:val="00A514EB"/>
    <w:rsid w:val="00A516EF"/>
    <w:rsid w:val="00A521E0"/>
    <w:rsid w:val="00A524C8"/>
    <w:rsid w:val="00A5291D"/>
    <w:rsid w:val="00A52ED6"/>
    <w:rsid w:val="00A52EDB"/>
    <w:rsid w:val="00A532E0"/>
    <w:rsid w:val="00A53533"/>
    <w:rsid w:val="00A54974"/>
    <w:rsid w:val="00A54A90"/>
    <w:rsid w:val="00A54B0B"/>
    <w:rsid w:val="00A54D16"/>
    <w:rsid w:val="00A54E6B"/>
    <w:rsid w:val="00A553DF"/>
    <w:rsid w:val="00A556AE"/>
    <w:rsid w:val="00A5579B"/>
    <w:rsid w:val="00A55877"/>
    <w:rsid w:val="00A55BB7"/>
    <w:rsid w:val="00A55E76"/>
    <w:rsid w:val="00A5637C"/>
    <w:rsid w:val="00A565DC"/>
    <w:rsid w:val="00A56735"/>
    <w:rsid w:val="00A56A28"/>
    <w:rsid w:val="00A56C2C"/>
    <w:rsid w:val="00A57311"/>
    <w:rsid w:val="00A57BD6"/>
    <w:rsid w:val="00A57EC0"/>
    <w:rsid w:val="00A57F96"/>
    <w:rsid w:val="00A602D0"/>
    <w:rsid w:val="00A60386"/>
    <w:rsid w:val="00A6065A"/>
    <w:rsid w:val="00A606AC"/>
    <w:rsid w:val="00A609BC"/>
    <w:rsid w:val="00A60B4F"/>
    <w:rsid w:val="00A60E0C"/>
    <w:rsid w:val="00A60E20"/>
    <w:rsid w:val="00A60EBB"/>
    <w:rsid w:val="00A6157E"/>
    <w:rsid w:val="00A615A0"/>
    <w:rsid w:val="00A615AF"/>
    <w:rsid w:val="00A61828"/>
    <w:rsid w:val="00A6189D"/>
    <w:rsid w:val="00A61F65"/>
    <w:rsid w:val="00A621F3"/>
    <w:rsid w:val="00A623EF"/>
    <w:rsid w:val="00A62454"/>
    <w:rsid w:val="00A627E0"/>
    <w:rsid w:val="00A62953"/>
    <w:rsid w:val="00A62A96"/>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6E"/>
    <w:rsid w:val="00A66851"/>
    <w:rsid w:val="00A669D6"/>
    <w:rsid w:val="00A6743F"/>
    <w:rsid w:val="00A677C1"/>
    <w:rsid w:val="00A67A8E"/>
    <w:rsid w:val="00A67AC6"/>
    <w:rsid w:val="00A70A35"/>
    <w:rsid w:val="00A7141F"/>
    <w:rsid w:val="00A71D6B"/>
    <w:rsid w:val="00A71F00"/>
    <w:rsid w:val="00A726A3"/>
    <w:rsid w:val="00A726DE"/>
    <w:rsid w:val="00A729F5"/>
    <w:rsid w:val="00A73242"/>
    <w:rsid w:val="00A73873"/>
    <w:rsid w:val="00A739AB"/>
    <w:rsid w:val="00A73D4C"/>
    <w:rsid w:val="00A744A2"/>
    <w:rsid w:val="00A74598"/>
    <w:rsid w:val="00A745D9"/>
    <w:rsid w:val="00A74E04"/>
    <w:rsid w:val="00A74F6C"/>
    <w:rsid w:val="00A75212"/>
    <w:rsid w:val="00A7538B"/>
    <w:rsid w:val="00A75920"/>
    <w:rsid w:val="00A75DE7"/>
    <w:rsid w:val="00A76344"/>
    <w:rsid w:val="00A7634B"/>
    <w:rsid w:val="00A763FE"/>
    <w:rsid w:val="00A764B9"/>
    <w:rsid w:val="00A76696"/>
    <w:rsid w:val="00A76A52"/>
    <w:rsid w:val="00A76BF2"/>
    <w:rsid w:val="00A7707F"/>
    <w:rsid w:val="00A770A5"/>
    <w:rsid w:val="00A7735F"/>
    <w:rsid w:val="00A776AD"/>
    <w:rsid w:val="00A806D6"/>
    <w:rsid w:val="00A8135C"/>
    <w:rsid w:val="00A81633"/>
    <w:rsid w:val="00A81694"/>
    <w:rsid w:val="00A81D9B"/>
    <w:rsid w:val="00A8221B"/>
    <w:rsid w:val="00A82508"/>
    <w:rsid w:val="00A82C1E"/>
    <w:rsid w:val="00A831D8"/>
    <w:rsid w:val="00A831F0"/>
    <w:rsid w:val="00A83309"/>
    <w:rsid w:val="00A83BF1"/>
    <w:rsid w:val="00A83CA0"/>
    <w:rsid w:val="00A84298"/>
    <w:rsid w:val="00A844CE"/>
    <w:rsid w:val="00A84A75"/>
    <w:rsid w:val="00A84EBF"/>
    <w:rsid w:val="00A85237"/>
    <w:rsid w:val="00A8523D"/>
    <w:rsid w:val="00A85661"/>
    <w:rsid w:val="00A85F2C"/>
    <w:rsid w:val="00A85FFF"/>
    <w:rsid w:val="00A867E7"/>
    <w:rsid w:val="00A86F67"/>
    <w:rsid w:val="00A86FEF"/>
    <w:rsid w:val="00A8706A"/>
    <w:rsid w:val="00A87482"/>
    <w:rsid w:val="00A87771"/>
    <w:rsid w:val="00A87F4E"/>
    <w:rsid w:val="00A90134"/>
    <w:rsid w:val="00A901CB"/>
    <w:rsid w:val="00A905F1"/>
    <w:rsid w:val="00A90E27"/>
    <w:rsid w:val="00A91218"/>
    <w:rsid w:val="00A91469"/>
    <w:rsid w:val="00A9164F"/>
    <w:rsid w:val="00A91F3E"/>
    <w:rsid w:val="00A92457"/>
    <w:rsid w:val="00A9274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510"/>
    <w:rsid w:val="00A95A3E"/>
    <w:rsid w:val="00A96058"/>
    <w:rsid w:val="00A964EC"/>
    <w:rsid w:val="00A9692B"/>
    <w:rsid w:val="00A96CF6"/>
    <w:rsid w:val="00A96D7E"/>
    <w:rsid w:val="00A96F9C"/>
    <w:rsid w:val="00A9727C"/>
    <w:rsid w:val="00A97666"/>
    <w:rsid w:val="00A97B8A"/>
    <w:rsid w:val="00A97B8C"/>
    <w:rsid w:val="00A97DBD"/>
    <w:rsid w:val="00A97EF9"/>
    <w:rsid w:val="00AA0003"/>
    <w:rsid w:val="00AA0D9A"/>
    <w:rsid w:val="00AA1264"/>
    <w:rsid w:val="00AA158B"/>
    <w:rsid w:val="00AA1740"/>
    <w:rsid w:val="00AA1D12"/>
    <w:rsid w:val="00AA1EEC"/>
    <w:rsid w:val="00AA210C"/>
    <w:rsid w:val="00AA29F2"/>
    <w:rsid w:val="00AA2CD8"/>
    <w:rsid w:val="00AA30A2"/>
    <w:rsid w:val="00AA461D"/>
    <w:rsid w:val="00AA4C09"/>
    <w:rsid w:val="00AA4F41"/>
    <w:rsid w:val="00AA5584"/>
    <w:rsid w:val="00AA576F"/>
    <w:rsid w:val="00AA6026"/>
    <w:rsid w:val="00AA6206"/>
    <w:rsid w:val="00AA630A"/>
    <w:rsid w:val="00AA69EF"/>
    <w:rsid w:val="00AA6F21"/>
    <w:rsid w:val="00AA6F9A"/>
    <w:rsid w:val="00AA7819"/>
    <w:rsid w:val="00AA7C4F"/>
    <w:rsid w:val="00AB001C"/>
    <w:rsid w:val="00AB02C8"/>
    <w:rsid w:val="00AB05BC"/>
    <w:rsid w:val="00AB06B8"/>
    <w:rsid w:val="00AB06E6"/>
    <w:rsid w:val="00AB0ADE"/>
    <w:rsid w:val="00AB0B59"/>
    <w:rsid w:val="00AB0CA0"/>
    <w:rsid w:val="00AB102D"/>
    <w:rsid w:val="00AB1705"/>
    <w:rsid w:val="00AB1A33"/>
    <w:rsid w:val="00AB2857"/>
    <w:rsid w:val="00AB2C9D"/>
    <w:rsid w:val="00AB2EB7"/>
    <w:rsid w:val="00AB3299"/>
    <w:rsid w:val="00AB3418"/>
    <w:rsid w:val="00AB3491"/>
    <w:rsid w:val="00AB3865"/>
    <w:rsid w:val="00AB3E16"/>
    <w:rsid w:val="00AB3E3E"/>
    <w:rsid w:val="00AB3F13"/>
    <w:rsid w:val="00AB4157"/>
    <w:rsid w:val="00AB42FF"/>
    <w:rsid w:val="00AB4300"/>
    <w:rsid w:val="00AB476F"/>
    <w:rsid w:val="00AB4D67"/>
    <w:rsid w:val="00AB4EFB"/>
    <w:rsid w:val="00AB513E"/>
    <w:rsid w:val="00AB51DA"/>
    <w:rsid w:val="00AB53BA"/>
    <w:rsid w:val="00AB57AD"/>
    <w:rsid w:val="00AB583A"/>
    <w:rsid w:val="00AB5E39"/>
    <w:rsid w:val="00AB607B"/>
    <w:rsid w:val="00AB642C"/>
    <w:rsid w:val="00AB644A"/>
    <w:rsid w:val="00AB6458"/>
    <w:rsid w:val="00AB6CA0"/>
    <w:rsid w:val="00AB76D5"/>
    <w:rsid w:val="00AB7787"/>
    <w:rsid w:val="00AB78AC"/>
    <w:rsid w:val="00AB7913"/>
    <w:rsid w:val="00AB79A8"/>
    <w:rsid w:val="00AC0169"/>
    <w:rsid w:val="00AC0CC3"/>
    <w:rsid w:val="00AC1281"/>
    <w:rsid w:val="00AC1554"/>
    <w:rsid w:val="00AC21BA"/>
    <w:rsid w:val="00AC22C7"/>
    <w:rsid w:val="00AC281A"/>
    <w:rsid w:val="00AC2D4E"/>
    <w:rsid w:val="00AC3084"/>
    <w:rsid w:val="00AC3431"/>
    <w:rsid w:val="00AC38E9"/>
    <w:rsid w:val="00AC45D6"/>
    <w:rsid w:val="00AC4D1B"/>
    <w:rsid w:val="00AC4D53"/>
    <w:rsid w:val="00AC4D9E"/>
    <w:rsid w:val="00AC4E2E"/>
    <w:rsid w:val="00AC5C2A"/>
    <w:rsid w:val="00AC5F7E"/>
    <w:rsid w:val="00AC61B3"/>
    <w:rsid w:val="00AC63F4"/>
    <w:rsid w:val="00AC6786"/>
    <w:rsid w:val="00AC7470"/>
    <w:rsid w:val="00AC7DE9"/>
    <w:rsid w:val="00AD12BD"/>
    <w:rsid w:val="00AD163D"/>
    <w:rsid w:val="00AD1860"/>
    <w:rsid w:val="00AD1B21"/>
    <w:rsid w:val="00AD1DFE"/>
    <w:rsid w:val="00AD1F06"/>
    <w:rsid w:val="00AD23E9"/>
    <w:rsid w:val="00AD25AF"/>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4C7E"/>
    <w:rsid w:val="00AD57E1"/>
    <w:rsid w:val="00AD6980"/>
    <w:rsid w:val="00AD69A7"/>
    <w:rsid w:val="00AD6C7F"/>
    <w:rsid w:val="00AD70C9"/>
    <w:rsid w:val="00AD732B"/>
    <w:rsid w:val="00AD75A6"/>
    <w:rsid w:val="00AD7927"/>
    <w:rsid w:val="00AD7E17"/>
    <w:rsid w:val="00AE0160"/>
    <w:rsid w:val="00AE0D23"/>
    <w:rsid w:val="00AE0E9E"/>
    <w:rsid w:val="00AE14B7"/>
    <w:rsid w:val="00AE19D1"/>
    <w:rsid w:val="00AE1E51"/>
    <w:rsid w:val="00AE2205"/>
    <w:rsid w:val="00AE232B"/>
    <w:rsid w:val="00AE26F5"/>
    <w:rsid w:val="00AE2968"/>
    <w:rsid w:val="00AE2ECC"/>
    <w:rsid w:val="00AE3004"/>
    <w:rsid w:val="00AE3627"/>
    <w:rsid w:val="00AE3839"/>
    <w:rsid w:val="00AE3AF4"/>
    <w:rsid w:val="00AE425D"/>
    <w:rsid w:val="00AE42D1"/>
    <w:rsid w:val="00AE4309"/>
    <w:rsid w:val="00AE4557"/>
    <w:rsid w:val="00AE4A1F"/>
    <w:rsid w:val="00AE4C55"/>
    <w:rsid w:val="00AE4F01"/>
    <w:rsid w:val="00AE5C22"/>
    <w:rsid w:val="00AE5E95"/>
    <w:rsid w:val="00AE6433"/>
    <w:rsid w:val="00AE6584"/>
    <w:rsid w:val="00AE6740"/>
    <w:rsid w:val="00AE69BD"/>
    <w:rsid w:val="00AE6D12"/>
    <w:rsid w:val="00AE723D"/>
    <w:rsid w:val="00AE7751"/>
    <w:rsid w:val="00AE77DE"/>
    <w:rsid w:val="00AE780C"/>
    <w:rsid w:val="00AE7992"/>
    <w:rsid w:val="00AE7BBF"/>
    <w:rsid w:val="00AF0FFE"/>
    <w:rsid w:val="00AF1414"/>
    <w:rsid w:val="00AF14DF"/>
    <w:rsid w:val="00AF15C3"/>
    <w:rsid w:val="00AF19CD"/>
    <w:rsid w:val="00AF25F3"/>
    <w:rsid w:val="00AF28B0"/>
    <w:rsid w:val="00AF2DED"/>
    <w:rsid w:val="00AF3560"/>
    <w:rsid w:val="00AF3C80"/>
    <w:rsid w:val="00AF3C8C"/>
    <w:rsid w:val="00AF3DE1"/>
    <w:rsid w:val="00AF4095"/>
    <w:rsid w:val="00AF41FC"/>
    <w:rsid w:val="00AF4447"/>
    <w:rsid w:val="00AF457C"/>
    <w:rsid w:val="00AF4ABD"/>
    <w:rsid w:val="00AF5363"/>
    <w:rsid w:val="00AF5673"/>
    <w:rsid w:val="00AF579C"/>
    <w:rsid w:val="00AF5F78"/>
    <w:rsid w:val="00AF63A9"/>
    <w:rsid w:val="00AF6591"/>
    <w:rsid w:val="00AF66F1"/>
    <w:rsid w:val="00AF6A76"/>
    <w:rsid w:val="00AF6B1B"/>
    <w:rsid w:val="00AF7363"/>
    <w:rsid w:val="00AF738A"/>
    <w:rsid w:val="00AF7E8D"/>
    <w:rsid w:val="00AF7F09"/>
    <w:rsid w:val="00AF7F0E"/>
    <w:rsid w:val="00B0015C"/>
    <w:rsid w:val="00B002BA"/>
    <w:rsid w:val="00B00306"/>
    <w:rsid w:val="00B00521"/>
    <w:rsid w:val="00B00D62"/>
    <w:rsid w:val="00B010D3"/>
    <w:rsid w:val="00B01CC2"/>
    <w:rsid w:val="00B01F0D"/>
    <w:rsid w:val="00B02014"/>
    <w:rsid w:val="00B0226D"/>
    <w:rsid w:val="00B023FC"/>
    <w:rsid w:val="00B02A4C"/>
    <w:rsid w:val="00B02AD0"/>
    <w:rsid w:val="00B03101"/>
    <w:rsid w:val="00B039CE"/>
    <w:rsid w:val="00B03BB8"/>
    <w:rsid w:val="00B03D26"/>
    <w:rsid w:val="00B04AD7"/>
    <w:rsid w:val="00B04D36"/>
    <w:rsid w:val="00B04F11"/>
    <w:rsid w:val="00B0540A"/>
    <w:rsid w:val="00B0550D"/>
    <w:rsid w:val="00B05688"/>
    <w:rsid w:val="00B0588E"/>
    <w:rsid w:val="00B06771"/>
    <w:rsid w:val="00B06C77"/>
    <w:rsid w:val="00B07390"/>
    <w:rsid w:val="00B075EC"/>
    <w:rsid w:val="00B076A7"/>
    <w:rsid w:val="00B076C4"/>
    <w:rsid w:val="00B07CBE"/>
    <w:rsid w:val="00B108ED"/>
    <w:rsid w:val="00B10931"/>
    <w:rsid w:val="00B1093D"/>
    <w:rsid w:val="00B10BE8"/>
    <w:rsid w:val="00B10DF3"/>
    <w:rsid w:val="00B1167A"/>
    <w:rsid w:val="00B11882"/>
    <w:rsid w:val="00B11E29"/>
    <w:rsid w:val="00B12603"/>
    <w:rsid w:val="00B12A8C"/>
    <w:rsid w:val="00B13003"/>
    <w:rsid w:val="00B13123"/>
    <w:rsid w:val="00B137BE"/>
    <w:rsid w:val="00B13829"/>
    <w:rsid w:val="00B13F1F"/>
    <w:rsid w:val="00B14251"/>
    <w:rsid w:val="00B147CC"/>
    <w:rsid w:val="00B150FE"/>
    <w:rsid w:val="00B15141"/>
    <w:rsid w:val="00B151C6"/>
    <w:rsid w:val="00B15916"/>
    <w:rsid w:val="00B16815"/>
    <w:rsid w:val="00B16B5F"/>
    <w:rsid w:val="00B16D08"/>
    <w:rsid w:val="00B1736C"/>
    <w:rsid w:val="00B17744"/>
    <w:rsid w:val="00B17D3E"/>
    <w:rsid w:val="00B20057"/>
    <w:rsid w:val="00B2043A"/>
    <w:rsid w:val="00B2063B"/>
    <w:rsid w:val="00B20CD7"/>
    <w:rsid w:val="00B20E2B"/>
    <w:rsid w:val="00B20F3D"/>
    <w:rsid w:val="00B21016"/>
    <w:rsid w:val="00B215F9"/>
    <w:rsid w:val="00B217CD"/>
    <w:rsid w:val="00B21B67"/>
    <w:rsid w:val="00B21CA7"/>
    <w:rsid w:val="00B22472"/>
    <w:rsid w:val="00B232CB"/>
    <w:rsid w:val="00B233A9"/>
    <w:rsid w:val="00B239CC"/>
    <w:rsid w:val="00B23C57"/>
    <w:rsid w:val="00B23E2E"/>
    <w:rsid w:val="00B24F49"/>
    <w:rsid w:val="00B25585"/>
    <w:rsid w:val="00B2571D"/>
    <w:rsid w:val="00B2588A"/>
    <w:rsid w:val="00B25A0E"/>
    <w:rsid w:val="00B25A70"/>
    <w:rsid w:val="00B25AB2"/>
    <w:rsid w:val="00B25BD8"/>
    <w:rsid w:val="00B25E1D"/>
    <w:rsid w:val="00B25F9A"/>
    <w:rsid w:val="00B2613A"/>
    <w:rsid w:val="00B263BE"/>
    <w:rsid w:val="00B269CE"/>
    <w:rsid w:val="00B271E3"/>
    <w:rsid w:val="00B27202"/>
    <w:rsid w:val="00B2757B"/>
    <w:rsid w:val="00B27D54"/>
    <w:rsid w:val="00B3057A"/>
    <w:rsid w:val="00B308C7"/>
    <w:rsid w:val="00B317EB"/>
    <w:rsid w:val="00B318CB"/>
    <w:rsid w:val="00B31C72"/>
    <w:rsid w:val="00B31E5F"/>
    <w:rsid w:val="00B322A7"/>
    <w:rsid w:val="00B32507"/>
    <w:rsid w:val="00B32607"/>
    <w:rsid w:val="00B326BE"/>
    <w:rsid w:val="00B32F7F"/>
    <w:rsid w:val="00B33126"/>
    <w:rsid w:val="00B338CE"/>
    <w:rsid w:val="00B3396B"/>
    <w:rsid w:val="00B33F7C"/>
    <w:rsid w:val="00B34390"/>
    <w:rsid w:val="00B3442C"/>
    <w:rsid w:val="00B3539A"/>
    <w:rsid w:val="00B353D3"/>
    <w:rsid w:val="00B35CB3"/>
    <w:rsid w:val="00B35F8E"/>
    <w:rsid w:val="00B363C8"/>
    <w:rsid w:val="00B36906"/>
    <w:rsid w:val="00B37188"/>
    <w:rsid w:val="00B4003E"/>
    <w:rsid w:val="00B40292"/>
    <w:rsid w:val="00B406B2"/>
    <w:rsid w:val="00B40A84"/>
    <w:rsid w:val="00B40D73"/>
    <w:rsid w:val="00B4110D"/>
    <w:rsid w:val="00B411A3"/>
    <w:rsid w:val="00B412CB"/>
    <w:rsid w:val="00B416D8"/>
    <w:rsid w:val="00B41B34"/>
    <w:rsid w:val="00B41BEE"/>
    <w:rsid w:val="00B42879"/>
    <w:rsid w:val="00B430D3"/>
    <w:rsid w:val="00B437BD"/>
    <w:rsid w:val="00B43985"/>
    <w:rsid w:val="00B439FA"/>
    <w:rsid w:val="00B43D4D"/>
    <w:rsid w:val="00B440CF"/>
    <w:rsid w:val="00B4418B"/>
    <w:rsid w:val="00B443C5"/>
    <w:rsid w:val="00B4485B"/>
    <w:rsid w:val="00B453AD"/>
    <w:rsid w:val="00B45A61"/>
    <w:rsid w:val="00B45AC0"/>
    <w:rsid w:val="00B46501"/>
    <w:rsid w:val="00B47389"/>
    <w:rsid w:val="00B47784"/>
    <w:rsid w:val="00B4783F"/>
    <w:rsid w:val="00B47858"/>
    <w:rsid w:val="00B47CEF"/>
    <w:rsid w:val="00B50261"/>
    <w:rsid w:val="00B504F7"/>
    <w:rsid w:val="00B50810"/>
    <w:rsid w:val="00B50933"/>
    <w:rsid w:val="00B509C0"/>
    <w:rsid w:val="00B50E09"/>
    <w:rsid w:val="00B50FD1"/>
    <w:rsid w:val="00B51420"/>
    <w:rsid w:val="00B51526"/>
    <w:rsid w:val="00B5171B"/>
    <w:rsid w:val="00B517F1"/>
    <w:rsid w:val="00B518DF"/>
    <w:rsid w:val="00B51A40"/>
    <w:rsid w:val="00B5238F"/>
    <w:rsid w:val="00B529F2"/>
    <w:rsid w:val="00B52EC8"/>
    <w:rsid w:val="00B53414"/>
    <w:rsid w:val="00B5370C"/>
    <w:rsid w:val="00B538FF"/>
    <w:rsid w:val="00B53EF5"/>
    <w:rsid w:val="00B54126"/>
    <w:rsid w:val="00B542BA"/>
    <w:rsid w:val="00B54989"/>
    <w:rsid w:val="00B54CC5"/>
    <w:rsid w:val="00B553CF"/>
    <w:rsid w:val="00B555B8"/>
    <w:rsid w:val="00B55ACA"/>
    <w:rsid w:val="00B561BD"/>
    <w:rsid w:val="00B566E0"/>
    <w:rsid w:val="00B5685D"/>
    <w:rsid w:val="00B56E91"/>
    <w:rsid w:val="00B56F22"/>
    <w:rsid w:val="00B574BA"/>
    <w:rsid w:val="00B57861"/>
    <w:rsid w:val="00B60407"/>
    <w:rsid w:val="00B6059C"/>
    <w:rsid w:val="00B609AE"/>
    <w:rsid w:val="00B609F0"/>
    <w:rsid w:val="00B60E6E"/>
    <w:rsid w:val="00B6112D"/>
    <w:rsid w:val="00B6156C"/>
    <w:rsid w:val="00B619AF"/>
    <w:rsid w:val="00B61B85"/>
    <w:rsid w:val="00B61CFF"/>
    <w:rsid w:val="00B61F08"/>
    <w:rsid w:val="00B61F70"/>
    <w:rsid w:val="00B6237B"/>
    <w:rsid w:val="00B62894"/>
    <w:rsid w:val="00B62A18"/>
    <w:rsid w:val="00B62F1E"/>
    <w:rsid w:val="00B63870"/>
    <w:rsid w:val="00B640AB"/>
    <w:rsid w:val="00B64124"/>
    <w:rsid w:val="00B64398"/>
    <w:rsid w:val="00B64484"/>
    <w:rsid w:val="00B645F8"/>
    <w:rsid w:val="00B64A44"/>
    <w:rsid w:val="00B64F38"/>
    <w:rsid w:val="00B652B0"/>
    <w:rsid w:val="00B65771"/>
    <w:rsid w:val="00B664EC"/>
    <w:rsid w:val="00B66801"/>
    <w:rsid w:val="00B668B4"/>
    <w:rsid w:val="00B66FFC"/>
    <w:rsid w:val="00B6796C"/>
    <w:rsid w:val="00B67B2B"/>
    <w:rsid w:val="00B7001D"/>
    <w:rsid w:val="00B7021B"/>
    <w:rsid w:val="00B70333"/>
    <w:rsid w:val="00B70A49"/>
    <w:rsid w:val="00B70EDB"/>
    <w:rsid w:val="00B7160D"/>
    <w:rsid w:val="00B71A5D"/>
    <w:rsid w:val="00B7273B"/>
    <w:rsid w:val="00B727B8"/>
    <w:rsid w:val="00B7325A"/>
    <w:rsid w:val="00B73453"/>
    <w:rsid w:val="00B737C7"/>
    <w:rsid w:val="00B73E00"/>
    <w:rsid w:val="00B73E31"/>
    <w:rsid w:val="00B7460C"/>
    <w:rsid w:val="00B74A0D"/>
    <w:rsid w:val="00B74EC0"/>
    <w:rsid w:val="00B75542"/>
    <w:rsid w:val="00B75667"/>
    <w:rsid w:val="00B75A5C"/>
    <w:rsid w:val="00B75D18"/>
    <w:rsid w:val="00B76016"/>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515"/>
    <w:rsid w:val="00B82A0E"/>
    <w:rsid w:val="00B82A8C"/>
    <w:rsid w:val="00B830F7"/>
    <w:rsid w:val="00B8321E"/>
    <w:rsid w:val="00B837F5"/>
    <w:rsid w:val="00B83AC3"/>
    <w:rsid w:val="00B83DAC"/>
    <w:rsid w:val="00B83DF6"/>
    <w:rsid w:val="00B84BE8"/>
    <w:rsid w:val="00B85132"/>
    <w:rsid w:val="00B855A8"/>
    <w:rsid w:val="00B85837"/>
    <w:rsid w:val="00B85F67"/>
    <w:rsid w:val="00B86557"/>
    <w:rsid w:val="00B86D87"/>
    <w:rsid w:val="00B87AF3"/>
    <w:rsid w:val="00B87C60"/>
    <w:rsid w:val="00B90165"/>
    <w:rsid w:val="00B911E8"/>
    <w:rsid w:val="00B91356"/>
    <w:rsid w:val="00B91E9D"/>
    <w:rsid w:val="00B922C4"/>
    <w:rsid w:val="00B926E0"/>
    <w:rsid w:val="00B92AD4"/>
    <w:rsid w:val="00B92BF1"/>
    <w:rsid w:val="00B932E1"/>
    <w:rsid w:val="00B93C36"/>
    <w:rsid w:val="00B94054"/>
    <w:rsid w:val="00B94253"/>
    <w:rsid w:val="00B9436E"/>
    <w:rsid w:val="00B946E7"/>
    <w:rsid w:val="00B950E8"/>
    <w:rsid w:val="00B95372"/>
    <w:rsid w:val="00B953FF"/>
    <w:rsid w:val="00B954FC"/>
    <w:rsid w:val="00B95A04"/>
    <w:rsid w:val="00B95C49"/>
    <w:rsid w:val="00B95EEF"/>
    <w:rsid w:val="00B95FD7"/>
    <w:rsid w:val="00B96228"/>
    <w:rsid w:val="00B96313"/>
    <w:rsid w:val="00B96CF0"/>
    <w:rsid w:val="00B96DA2"/>
    <w:rsid w:val="00B977E6"/>
    <w:rsid w:val="00BA067F"/>
    <w:rsid w:val="00BA13E0"/>
    <w:rsid w:val="00BA1731"/>
    <w:rsid w:val="00BA17C4"/>
    <w:rsid w:val="00BA270E"/>
    <w:rsid w:val="00BA2729"/>
    <w:rsid w:val="00BA283C"/>
    <w:rsid w:val="00BA2AEB"/>
    <w:rsid w:val="00BA2B41"/>
    <w:rsid w:val="00BA2FA6"/>
    <w:rsid w:val="00BA3603"/>
    <w:rsid w:val="00BA388C"/>
    <w:rsid w:val="00BA3974"/>
    <w:rsid w:val="00BA3C13"/>
    <w:rsid w:val="00BA3CC9"/>
    <w:rsid w:val="00BA3D2F"/>
    <w:rsid w:val="00BA3F29"/>
    <w:rsid w:val="00BA40BE"/>
    <w:rsid w:val="00BA48E0"/>
    <w:rsid w:val="00BA4CF4"/>
    <w:rsid w:val="00BA54FB"/>
    <w:rsid w:val="00BA5C97"/>
    <w:rsid w:val="00BA5EFB"/>
    <w:rsid w:val="00BA6230"/>
    <w:rsid w:val="00BA659A"/>
    <w:rsid w:val="00BA68C1"/>
    <w:rsid w:val="00BA6D50"/>
    <w:rsid w:val="00BA712E"/>
    <w:rsid w:val="00BA7423"/>
    <w:rsid w:val="00BA7688"/>
    <w:rsid w:val="00BA7EB0"/>
    <w:rsid w:val="00BB008F"/>
    <w:rsid w:val="00BB0528"/>
    <w:rsid w:val="00BB070E"/>
    <w:rsid w:val="00BB0D75"/>
    <w:rsid w:val="00BB1286"/>
    <w:rsid w:val="00BB1C4F"/>
    <w:rsid w:val="00BB20E7"/>
    <w:rsid w:val="00BB225D"/>
    <w:rsid w:val="00BB277B"/>
    <w:rsid w:val="00BB2835"/>
    <w:rsid w:val="00BB3373"/>
    <w:rsid w:val="00BB365A"/>
    <w:rsid w:val="00BB37B0"/>
    <w:rsid w:val="00BB3A61"/>
    <w:rsid w:val="00BB3D91"/>
    <w:rsid w:val="00BB3F4C"/>
    <w:rsid w:val="00BB4A42"/>
    <w:rsid w:val="00BB5075"/>
    <w:rsid w:val="00BB5321"/>
    <w:rsid w:val="00BB55C2"/>
    <w:rsid w:val="00BB56F2"/>
    <w:rsid w:val="00BB57E0"/>
    <w:rsid w:val="00BB5846"/>
    <w:rsid w:val="00BB61DC"/>
    <w:rsid w:val="00BB6258"/>
    <w:rsid w:val="00BB6431"/>
    <w:rsid w:val="00BB645D"/>
    <w:rsid w:val="00BB6472"/>
    <w:rsid w:val="00BB71EC"/>
    <w:rsid w:val="00BB724B"/>
    <w:rsid w:val="00BB740F"/>
    <w:rsid w:val="00BB7DB1"/>
    <w:rsid w:val="00BC0AE6"/>
    <w:rsid w:val="00BC1293"/>
    <w:rsid w:val="00BC16BF"/>
    <w:rsid w:val="00BC1B4B"/>
    <w:rsid w:val="00BC201A"/>
    <w:rsid w:val="00BC2BC7"/>
    <w:rsid w:val="00BC2F45"/>
    <w:rsid w:val="00BC344E"/>
    <w:rsid w:val="00BC38B8"/>
    <w:rsid w:val="00BC3CF8"/>
    <w:rsid w:val="00BC4B9C"/>
    <w:rsid w:val="00BC4D50"/>
    <w:rsid w:val="00BC5181"/>
    <w:rsid w:val="00BC542C"/>
    <w:rsid w:val="00BC56C1"/>
    <w:rsid w:val="00BC5CE2"/>
    <w:rsid w:val="00BC625F"/>
    <w:rsid w:val="00BC642E"/>
    <w:rsid w:val="00BC6742"/>
    <w:rsid w:val="00BC6C82"/>
    <w:rsid w:val="00BC71C5"/>
    <w:rsid w:val="00BC7659"/>
    <w:rsid w:val="00BC791C"/>
    <w:rsid w:val="00BC7A42"/>
    <w:rsid w:val="00BC7E6E"/>
    <w:rsid w:val="00BD013E"/>
    <w:rsid w:val="00BD0263"/>
    <w:rsid w:val="00BD0383"/>
    <w:rsid w:val="00BD082C"/>
    <w:rsid w:val="00BD0FC4"/>
    <w:rsid w:val="00BD1122"/>
    <w:rsid w:val="00BD13ED"/>
    <w:rsid w:val="00BD140B"/>
    <w:rsid w:val="00BD171F"/>
    <w:rsid w:val="00BD1749"/>
    <w:rsid w:val="00BD2161"/>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509"/>
    <w:rsid w:val="00BD689C"/>
    <w:rsid w:val="00BD6909"/>
    <w:rsid w:val="00BD6A22"/>
    <w:rsid w:val="00BD78B8"/>
    <w:rsid w:val="00BD7A82"/>
    <w:rsid w:val="00BD7F9E"/>
    <w:rsid w:val="00BE072F"/>
    <w:rsid w:val="00BE0C3B"/>
    <w:rsid w:val="00BE0DCA"/>
    <w:rsid w:val="00BE13B8"/>
    <w:rsid w:val="00BE16CB"/>
    <w:rsid w:val="00BE197A"/>
    <w:rsid w:val="00BE1A06"/>
    <w:rsid w:val="00BE1F8E"/>
    <w:rsid w:val="00BE2DD4"/>
    <w:rsid w:val="00BE2E99"/>
    <w:rsid w:val="00BE3AFA"/>
    <w:rsid w:val="00BE3F52"/>
    <w:rsid w:val="00BE403F"/>
    <w:rsid w:val="00BE45C1"/>
    <w:rsid w:val="00BE51C7"/>
    <w:rsid w:val="00BE5515"/>
    <w:rsid w:val="00BE5613"/>
    <w:rsid w:val="00BE5813"/>
    <w:rsid w:val="00BE5C7E"/>
    <w:rsid w:val="00BE6038"/>
    <w:rsid w:val="00BE65B3"/>
    <w:rsid w:val="00BE68B9"/>
    <w:rsid w:val="00BE7265"/>
    <w:rsid w:val="00BE7B27"/>
    <w:rsid w:val="00BF02E6"/>
    <w:rsid w:val="00BF04B1"/>
    <w:rsid w:val="00BF0963"/>
    <w:rsid w:val="00BF0A66"/>
    <w:rsid w:val="00BF0CB3"/>
    <w:rsid w:val="00BF10D2"/>
    <w:rsid w:val="00BF10D6"/>
    <w:rsid w:val="00BF120B"/>
    <w:rsid w:val="00BF1309"/>
    <w:rsid w:val="00BF18B9"/>
    <w:rsid w:val="00BF1B70"/>
    <w:rsid w:val="00BF220D"/>
    <w:rsid w:val="00BF2817"/>
    <w:rsid w:val="00BF2C65"/>
    <w:rsid w:val="00BF31CB"/>
    <w:rsid w:val="00BF3485"/>
    <w:rsid w:val="00BF3AE6"/>
    <w:rsid w:val="00BF3C10"/>
    <w:rsid w:val="00BF46F1"/>
    <w:rsid w:val="00BF4923"/>
    <w:rsid w:val="00BF4B69"/>
    <w:rsid w:val="00BF5350"/>
    <w:rsid w:val="00BF55D0"/>
    <w:rsid w:val="00BF5623"/>
    <w:rsid w:val="00BF56A8"/>
    <w:rsid w:val="00BF57C6"/>
    <w:rsid w:val="00BF60E3"/>
    <w:rsid w:val="00BF6597"/>
    <w:rsid w:val="00BF6FBF"/>
    <w:rsid w:val="00BF70A1"/>
    <w:rsid w:val="00BF70F8"/>
    <w:rsid w:val="00BF7CDD"/>
    <w:rsid w:val="00BF7D43"/>
    <w:rsid w:val="00C007CA"/>
    <w:rsid w:val="00C00BC2"/>
    <w:rsid w:val="00C00F1A"/>
    <w:rsid w:val="00C010F5"/>
    <w:rsid w:val="00C01835"/>
    <w:rsid w:val="00C01983"/>
    <w:rsid w:val="00C01DFD"/>
    <w:rsid w:val="00C02192"/>
    <w:rsid w:val="00C02517"/>
    <w:rsid w:val="00C0279C"/>
    <w:rsid w:val="00C02C95"/>
    <w:rsid w:val="00C02CDE"/>
    <w:rsid w:val="00C03B7B"/>
    <w:rsid w:val="00C03C30"/>
    <w:rsid w:val="00C04339"/>
    <w:rsid w:val="00C0471C"/>
    <w:rsid w:val="00C04C6C"/>
    <w:rsid w:val="00C04DE2"/>
    <w:rsid w:val="00C05395"/>
    <w:rsid w:val="00C057E0"/>
    <w:rsid w:val="00C05863"/>
    <w:rsid w:val="00C05C20"/>
    <w:rsid w:val="00C05D67"/>
    <w:rsid w:val="00C05F3E"/>
    <w:rsid w:val="00C06031"/>
    <w:rsid w:val="00C06066"/>
    <w:rsid w:val="00C0648A"/>
    <w:rsid w:val="00C067A4"/>
    <w:rsid w:val="00C06E36"/>
    <w:rsid w:val="00C06F8C"/>
    <w:rsid w:val="00C0734B"/>
    <w:rsid w:val="00C07A6C"/>
    <w:rsid w:val="00C07A84"/>
    <w:rsid w:val="00C07AE3"/>
    <w:rsid w:val="00C07AE4"/>
    <w:rsid w:val="00C07C5C"/>
    <w:rsid w:val="00C10599"/>
    <w:rsid w:val="00C10F46"/>
    <w:rsid w:val="00C1114F"/>
    <w:rsid w:val="00C11183"/>
    <w:rsid w:val="00C11197"/>
    <w:rsid w:val="00C1157C"/>
    <w:rsid w:val="00C11C33"/>
    <w:rsid w:val="00C11C73"/>
    <w:rsid w:val="00C11FE5"/>
    <w:rsid w:val="00C11FF6"/>
    <w:rsid w:val="00C12068"/>
    <w:rsid w:val="00C1283A"/>
    <w:rsid w:val="00C12EB5"/>
    <w:rsid w:val="00C1328A"/>
    <w:rsid w:val="00C13504"/>
    <w:rsid w:val="00C13C8A"/>
    <w:rsid w:val="00C13F22"/>
    <w:rsid w:val="00C140FE"/>
    <w:rsid w:val="00C14346"/>
    <w:rsid w:val="00C14691"/>
    <w:rsid w:val="00C1473E"/>
    <w:rsid w:val="00C14EF8"/>
    <w:rsid w:val="00C15135"/>
    <w:rsid w:val="00C159ED"/>
    <w:rsid w:val="00C15D8C"/>
    <w:rsid w:val="00C16386"/>
    <w:rsid w:val="00C165C6"/>
    <w:rsid w:val="00C1662C"/>
    <w:rsid w:val="00C16813"/>
    <w:rsid w:val="00C16B16"/>
    <w:rsid w:val="00C16CEE"/>
    <w:rsid w:val="00C17099"/>
    <w:rsid w:val="00C170AE"/>
    <w:rsid w:val="00C173EB"/>
    <w:rsid w:val="00C17593"/>
    <w:rsid w:val="00C176B6"/>
    <w:rsid w:val="00C17D7E"/>
    <w:rsid w:val="00C17D89"/>
    <w:rsid w:val="00C17F9B"/>
    <w:rsid w:val="00C202D5"/>
    <w:rsid w:val="00C2068D"/>
    <w:rsid w:val="00C206C4"/>
    <w:rsid w:val="00C206EC"/>
    <w:rsid w:val="00C207CE"/>
    <w:rsid w:val="00C20A2D"/>
    <w:rsid w:val="00C20DD5"/>
    <w:rsid w:val="00C20F2A"/>
    <w:rsid w:val="00C226CE"/>
    <w:rsid w:val="00C227E3"/>
    <w:rsid w:val="00C232DD"/>
    <w:rsid w:val="00C23452"/>
    <w:rsid w:val="00C2423A"/>
    <w:rsid w:val="00C244D8"/>
    <w:rsid w:val="00C24789"/>
    <w:rsid w:val="00C24EE5"/>
    <w:rsid w:val="00C250CF"/>
    <w:rsid w:val="00C2544D"/>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4DF"/>
    <w:rsid w:val="00C315D4"/>
    <w:rsid w:val="00C3160D"/>
    <w:rsid w:val="00C3175A"/>
    <w:rsid w:val="00C319A2"/>
    <w:rsid w:val="00C3208A"/>
    <w:rsid w:val="00C3260A"/>
    <w:rsid w:val="00C32BB7"/>
    <w:rsid w:val="00C32CCE"/>
    <w:rsid w:val="00C33560"/>
    <w:rsid w:val="00C337EC"/>
    <w:rsid w:val="00C339DE"/>
    <w:rsid w:val="00C33AA7"/>
    <w:rsid w:val="00C33DCE"/>
    <w:rsid w:val="00C3463A"/>
    <w:rsid w:val="00C346BB"/>
    <w:rsid w:val="00C346C1"/>
    <w:rsid w:val="00C34BDB"/>
    <w:rsid w:val="00C34C05"/>
    <w:rsid w:val="00C34D4B"/>
    <w:rsid w:val="00C34F16"/>
    <w:rsid w:val="00C351D2"/>
    <w:rsid w:val="00C3566B"/>
    <w:rsid w:val="00C359AA"/>
    <w:rsid w:val="00C35B23"/>
    <w:rsid w:val="00C36050"/>
    <w:rsid w:val="00C361B0"/>
    <w:rsid w:val="00C367B9"/>
    <w:rsid w:val="00C36DAD"/>
    <w:rsid w:val="00C37050"/>
    <w:rsid w:val="00C37CA6"/>
    <w:rsid w:val="00C37F8D"/>
    <w:rsid w:val="00C4018E"/>
    <w:rsid w:val="00C404D5"/>
    <w:rsid w:val="00C40B7D"/>
    <w:rsid w:val="00C40CD4"/>
    <w:rsid w:val="00C41057"/>
    <w:rsid w:val="00C411E2"/>
    <w:rsid w:val="00C41E8D"/>
    <w:rsid w:val="00C42130"/>
    <w:rsid w:val="00C42784"/>
    <w:rsid w:val="00C429E1"/>
    <w:rsid w:val="00C4301B"/>
    <w:rsid w:val="00C439F0"/>
    <w:rsid w:val="00C43CE7"/>
    <w:rsid w:val="00C44189"/>
    <w:rsid w:val="00C447FB"/>
    <w:rsid w:val="00C44F96"/>
    <w:rsid w:val="00C44FF2"/>
    <w:rsid w:val="00C4587D"/>
    <w:rsid w:val="00C45C66"/>
    <w:rsid w:val="00C464A1"/>
    <w:rsid w:val="00C470AA"/>
    <w:rsid w:val="00C476E4"/>
    <w:rsid w:val="00C47AE8"/>
    <w:rsid w:val="00C47B93"/>
    <w:rsid w:val="00C47BDE"/>
    <w:rsid w:val="00C47EC4"/>
    <w:rsid w:val="00C508B7"/>
    <w:rsid w:val="00C509D3"/>
    <w:rsid w:val="00C51696"/>
    <w:rsid w:val="00C5193F"/>
    <w:rsid w:val="00C51A6A"/>
    <w:rsid w:val="00C51D11"/>
    <w:rsid w:val="00C51D30"/>
    <w:rsid w:val="00C51F21"/>
    <w:rsid w:val="00C521CD"/>
    <w:rsid w:val="00C5257E"/>
    <w:rsid w:val="00C52DD4"/>
    <w:rsid w:val="00C531B4"/>
    <w:rsid w:val="00C532F9"/>
    <w:rsid w:val="00C53E22"/>
    <w:rsid w:val="00C54C14"/>
    <w:rsid w:val="00C54C62"/>
    <w:rsid w:val="00C54CBD"/>
    <w:rsid w:val="00C54CDD"/>
    <w:rsid w:val="00C5589B"/>
    <w:rsid w:val="00C55A58"/>
    <w:rsid w:val="00C55E23"/>
    <w:rsid w:val="00C5638E"/>
    <w:rsid w:val="00C56918"/>
    <w:rsid w:val="00C569CA"/>
    <w:rsid w:val="00C56F7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2B6E"/>
    <w:rsid w:val="00C62C97"/>
    <w:rsid w:val="00C62DF1"/>
    <w:rsid w:val="00C63152"/>
    <w:rsid w:val="00C633AB"/>
    <w:rsid w:val="00C6343A"/>
    <w:rsid w:val="00C636B0"/>
    <w:rsid w:val="00C64849"/>
    <w:rsid w:val="00C6560B"/>
    <w:rsid w:val="00C6560D"/>
    <w:rsid w:val="00C65A91"/>
    <w:rsid w:val="00C65ADD"/>
    <w:rsid w:val="00C65D24"/>
    <w:rsid w:val="00C65E0D"/>
    <w:rsid w:val="00C65EE7"/>
    <w:rsid w:val="00C65F58"/>
    <w:rsid w:val="00C6622D"/>
    <w:rsid w:val="00C66571"/>
    <w:rsid w:val="00C66649"/>
    <w:rsid w:val="00C666DB"/>
    <w:rsid w:val="00C667F6"/>
    <w:rsid w:val="00C66C34"/>
    <w:rsid w:val="00C66E67"/>
    <w:rsid w:val="00C67258"/>
    <w:rsid w:val="00C67E2E"/>
    <w:rsid w:val="00C67F34"/>
    <w:rsid w:val="00C70366"/>
    <w:rsid w:val="00C7040D"/>
    <w:rsid w:val="00C70B8C"/>
    <w:rsid w:val="00C71082"/>
    <w:rsid w:val="00C71327"/>
    <w:rsid w:val="00C71468"/>
    <w:rsid w:val="00C723AF"/>
    <w:rsid w:val="00C723CA"/>
    <w:rsid w:val="00C72681"/>
    <w:rsid w:val="00C7271F"/>
    <w:rsid w:val="00C72B80"/>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C9D"/>
    <w:rsid w:val="00C76952"/>
    <w:rsid w:val="00C76C8A"/>
    <w:rsid w:val="00C7731D"/>
    <w:rsid w:val="00C7799E"/>
    <w:rsid w:val="00C80441"/>
    <w:rsid w:val="00C80547"/>
    <w:rsid w:val="00C80CD8"/>
    <w:rsid w:val="00C80DB5"/>
    <w:rsid w:val="00C8198E"/>
    <w:rsid w:val="00C81B30"/>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6A4C"/>
    <w:rsid w:val="00C870BA"/>
    <w:rsid w:val="00C8781D"/>
    <w:rsid w:val="00C878E9"/>
    <w:rsid w:val="00C87AF9"/>
    <w:rsid w:val="00C901A9"/>
    <w:rsid w:val="00C9047A"/>
    <w:rsid w:val="00C905AC"/>
    <w:rsid w:val="00C9065E"/>
    <w:rsid w:val="00C90B43"/>
    <w:rsid w:val="00C90C65"/>
    <w:rsid w:val="00C90C82"/>
    <w:rsid w:val="00C90F7A"/>
    <w:rsid w:val="00C911EF"/>
    <w:rsid w:val="00C91CFB"/>
    <w:rsid w:val="00C91FAC"/>
    <w:rsid w:val="00C9220C"/>
    <w:rsid w:val="00C922C5"/>
    <w:rsid w:val="00C92352"/>
    <w:rsid w:val="00C923B7"/>
    <w:rsid w:val="00C927AB"/>
    <w:rsid w:val="00C92C2A"/>
    <w:rsid w:val="00C9318C"/>
    <w:rsid w:val="00C93297"/>
    <w:rsid w:val="00C93543"/>
    <w:rsid w:val="00C94051"/>
    <w:rsid w:val="00C945EC"/>
    <w:rsid w:val="00C94B58"/>
    <w:rsid w:val="00C94BBA"/>
    <w:rsid w:val="00C94E45"/>
    <w:rsid w:val="00C95300"/>
    <w:rsid w:val="00C95548"/>
    <w:rsid w:val="00C955F6"/>
    <w:rsid w:val="00C95656"/>
    <w:rsid w:val="00C95730"/>
    <w:rsid w:val="00C95962"/>
    <w:rsid w:val="00C959AA"/>
    <w:rsid w:val="00C95EC0"/>
    <w:rsid w:val="00C95FD1"/>
    <w:rsid w:val="00C9638E"/>
    <w:rsid w:val="00C963E1"/>
    <w:rsid w:val="00C965AD"/>
    <w:rsid w:val="00C96835"/>
    <w:rsid w:val="00C96A24"/>
    <w:rsid w:val="00C96D37"/>
    <w:rsid w:val="00C96D71"/>
    <w:rsid w:val="00C96F89"/>
    <w:rsid w:val="00C96FE0"/>
    <w:rsid w:val="00C97572"/>
    <w:rsid w:val="00C9785E"/>
    <w:rsid w:val="00C97AF1"/>
    <w:rsid w:val="00C97D77"/>
    <w:rsid w:val="00CA09AA"/>
    <w:rsid w:val="00CA0FCC"/>
    <w:rsid w:val="00CA114D"/>
    <w:rsid w:val="00CA1225"/>
    <w:rsid w:val="00CA18D2"/>
    <w:rsid w:val="00CA2919"/>
    <w:rsid w:val="00CA2C56"/>
    <w:rsid w:val="00CA3DB2"/>
    <w:rsid w:val="00CA41D9"/>
    <w:rsid w:val="00CA4586"/>
    <w:rsid w:val="00CA49C0"/>
    <w:rsid w:val="00CA4A24"/>
    <w:rsid w:val="00CA4A3F"/>
    <w:rsid w:val="00CA4C14"/>
    <w:rsid w:val="00CA4D19"/>
    <w:rsid w:val="00CA4F58"/>
    <w:rsid w:val="00CA51A0"/>
    <w:rsid w:val="00CA5DA3"/>
    <w:rsid w:val="00CA6164"/>
    <w:rsid w:val="00CA66FF"/>
    <w:rsid w:val="00CA6734"/>
    <w:rsid w:val="00CA6BDF"/>
    <w:rsid w:val="00CB0072"/>
    <w:rsid w:val="00CB01BC"/>
    <w:rsid w:val="00CB03CF"/>
    <w:rsid w:val="00CB047F"/>
    <w:rsid w:val="00CB11BD"/>
    <w:rsid w:val="00CB1368"/>
    <w:rsid w:val="00CB167F"/>
    <w:rsid w:val="00CB1F2A"/>
    <w:rsid w:val="00CB2655"/>
    <w:rsid w:val="00CB299C"/>
    <w:rsid w:val="00CB2BBA"/>
    <w:rsid w:val="00CB3296"/>
    <w:rsid w:val="00CB35ED"/>
    <w:rsid w:val="00CB39EB"/>
    <w:rsid w:val="00CB3A64"/>
    <w:rsid w:val="00CB41E7"/>
    <w:rsid w:val="00CB480A"/>
    <w:rsid w:val="00CB4FA5"/>
    <w:rsid w:val="00CB5008"/>
    <w:rsid w:val="00CB58DD"/>
    <w:rsid w:val="00CB59CB"/>
    <w:rsid w:val="00CB6343"/>
    <w:rsid w:val="00CB6517"/>
    <w:rsid w:val="00CB7648"/>
    <w:rsid w:val="00CB79A4"/>
    <w:rsid w:val="00CB7B6B"/>
    <w:rsid w:val="00CB7F5F"/>
    <w:rsid w:val="00CC00B7"/>
    <w:rsid w:val="00CC034B"/>
    <w:rsid w:val="00CC07BA"/>
    <w:rsid w:val="00CC099A"/>
    <w:rsid w:val="00CC0AA7"/>
    <w:rsid w:val="00CC0E56"/>
    <w:rsid w:val="00CC124C"/>
    <w:rsid w:val="00CC1555"/>
    <w:rsid w:val="00CC172A"/>
    <w:rsid w:val="00CC1A18"/>
    <w:rsid w:val="00CC1D2E"/>
    <w:rsid w:val="00CC1E3E"/>
    <w:rsid w:val="00CC1E40"/>
    <w:rsid w:val="00CC27F5"/>
    <w:rsid w:val="00CC2D18"/>
    <w:rsid w:val="00CC2EFE"/>
    <w:rsid w:val="00CC32B0"/>
    <w:rsid w:val="00CC34E2"/>
    <w:rsid w:val="00CC3983"/>
    <w:rsid w:val="00CC3D8D"/>
    <w:rsid w:val="00CC3E8C"/>
    <w:rsid w:val="00CC400F"/>
    <w:rsid w:val="00CC4365"/>
    <w:rsid w:val="00CC4C5E"/>
    <w:rsid w:val="00CC4C9E"/>
    <w:rsid w:val="00CC4CD7"/>
    <w:rsid w:val="00CC4F58"/>
    <w:rsid w:val="00CC57AE"/>
    <w:rsid w:val="00CC606C"/>
    <w:rsid w:val="00CC620F"/>
    <w:rsid w:val="00CC728B"/>
    <w:rsid w:val="00CC7356"/>
    <w:rsid w:val="00CC74D5"/>
    <w:rsid w:val="00CC74E5"/>
    <w:rsid w:val="00CC7A6D"/>
    <w:rsid w:val="00CC7A88"/>
    <w:rsid w:val="00CC7DF5"/>
    <w:rsid w:val="00CD04B6"/>
    <w:rsid w:val="00CD0740"/>
    <w:rsid w:val="00CD0768"/>
    <w:rsid w:val="00CD0B87"/>
    <w:rsid w:val="00CD14CB"/>
    <w:rsid w:val="00CD179D"/>
    <w:rsid w:val="00CD1E74"/>
    <w:rsid w:val="00CD2585"/>
    <w:rsid w:val="00CD283A"/>
    <w:rsid w:val="00CD309B"/>
    <w:rsid w:val="00CD3122"/>
    <w:rsid w:val="00CD325D"/>
    <w:rsid w:val="00CD3372"/>
    <w:rsid w:val="00CD3421"/>
    <w:rsid w:val="00CD37A5"/>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6F64"/>
    <w:rsid w:val="00CD787F"/>
    <w:rsid w:val="00CD7A86"/>
    <w:rsid w:val="00CE025E"/>
    <w:rsid w:val="00CE030D"/>
    <w:rsid w:val="00CE03B6"/>
    <w:rsid w:val="00CE05B4"/>
    <w:rsid w:val="00CE05F2"/>
    <w:rsid w:val="00CE0CBF"/>
    <w:rsid w:val="00CE0F12"/>
    <w:rsid w:val="00CE112E"/>
    <w:rsid w:val="00CE1225"/>
    <w:rsid w:val="00CE132D"/>
    <w:rsid w:val="00CE143E"/>
    <w:rsid w:val="00CE19F2"/>
    <w:rsid w:val="00CE253D"/>
    <w:rsid w:val="00CE2DF0"/>
    <w:rsid w:val="00CE3257"/>
    <w:rsid w:val="00CE38AA"/>
    <w:rsid w:val="00CE3CDC"/>
    <w:rsid w:val="00CE3D16"/>
    <w:rsid w:val="00CE3D41"/>
    <w:rsid w:val="00CE3FBA"/>
    <w:rsid w:val="00CE44B7"/>
    <w:rsid w:val="00CE5386"/>
    <w:rsid w:val="00CE53A7"/>
    <w:rsid w:val="00CE5CB1"/>
    <w:rsid w:val="00CE5E50"/>
    <w:rsid w:val="00CE630B"/>
    <w:rsid w:val="00CE69F3"/>
    <w:rsid w:val="00CE6AD5"/>
    <w:rsid w:val="00CE6E24"/>
    <w:rsid w:val="00CE7392"/>
    <w:rsid w:val="00CE76BD"/>
    <w:rsid w:val="00CE781A"/>
    <w:rsid w:val="00CF0131"/>
    <w:rsid w:val="00CF02AC"/>
    <w:rsid w:val="00CF057C"/>
    <w:rsid w:val="00CF06E6"/>
    <w:rsid w:val="00CF0EA3"/>
    <w:rsid w:val="00CF18AB"/>
    <w:rsid w:val="00CF193E"/>
    <w:rsid w:val="00CF1AA6"/>
    <w:rsid w:val="00CF1C27"/>
    <w:rsid w:val="00CF20C8"/>
    <w:rsid w:val="00CF2639"/>
    <w:rsid w:val="00CF2EF5"/>
    <w:rsid w:val="00CF2FBF"/>
    <w:rsid w:val="00CF31DC"/>
    <w:rsid w:val="00CF33BA"/>
    <w:rsid w:val="00CF3E2B"/>
    <w:rsid w:val="00CF3F01"/>
    <w:rsid w:val="00CF4022"/>
    <w:rsid w:val="00CF4050"/>
    <w:rsid w:val="00CF40F7"/>
    <w:rsid w:val="00CF41AE"/>
    <w:rsid w:val="00CF495B"/>
    <w:rsid w:val="00CF4B3B"/>
    <w:rsid w:val="00CF4F02"/>
    <w:rsid w:val="00CF4F88"/>
    <w:rsid w:val="00CF5E07"/>
    <w:rsid w:val="00CF5E86"/>
    <w:rsid w:val="00CF5EE9"/>
    <w:rsid w:val="00CF61A3"/>
    <w:rsid w:val="00CF66DE"/>
    <w:rsid w:val="00CF6848"/>
    <w:rsid w:val="00CF6AF3"/>
    <w:rsid w:val="00CF6C9A"/>
    <w:rsid w:val="00CF74F6"/>
    <w:rsid w:val="00CF76AE"/>
    <w:rsid w:val="00CF7CCF"/>
    <w:rsid w:val="00CF7D8D"/>
    <w:rsid w:val="00D0033A"/>
    <w:rsid w:val="00D00429"/>
    <w:rsid w:val="00D00522"/>
    <w:rsid w:val="00D00B22"/>
    <w:rsid w:val="00D00FCA"/>
    <w:rsid w:val="00D014D9"/>
    <w:rsid w:val="00D017EE"/>
    <w:rsid w:val="00D01C73"/>
    <w:rsid w:val="00D02369"/>
    <w:rsid w:val="00D02AFC"/>
    <w:rsid w:val="00D02C36"/>
    <w:rsid w:val="00D02E17"/>
    <w:rsid w:val="00D02F2F"/>
    <w:rsid w:val="00D0321D"/>
    <w:rsid w:val="00D039A0"/>
    <w:rsid w:val="00D03AC6"/>
    <w:rsid w:val="00D03C72"/>
    <w:rsid w:val="00D04A63"/>
    <w:rsid w:val="00D04FC8"/>
    <w:rsid w:val="00D050BA"/>
    <w:rsid w:val="00D05B47"/>
    <w:rsid w:val="00D05F62"/>
    <w:rsid w:val="00D05FD4"/>
    <w:rsid w:val="00D05FFE"/>
    <w:rsid w:val="00D06088"/>
    <w:rsid w:val="00D0675C"/>
    <w:rsid w:val="00D06800"/>
    <w:rsid w:val="00D06B22"/>
    <w:rsid w:val="00D06DED"/>
    <w:rsid w:val="00D070AD"/>
    <w:rsid w:val="00D073D1"/>
    <w:rsid w:val="00D078A7"/>
    <w:rsid w:val="00D078A9"/>
    <w:rsid w:val="00D078C9"/>
    <w:rsid w:val="00D07BEB"/>
    <w:rsid w:val="00D07D73"/>
    <w:rsid w:val="00D07DCA"/>
    <w:rsid w:val="00D07E5F"/>
    <w:rsid w:val="00D1023A"/>
    <w:rsid w:val="00D11672"/>
    <w:rsid w:val="00D11873"/>
    <w:rsid w:val="00D11DD7"/>
    <w:rsid w:val="00D11FAE"/>
    <w:rsid w:val="00D12371"/>
    <w:rsid w:val="00D12440"/>
    <w:rsid w:val="00D1249E"/>
    <w:rsid w:val="00D124B7"/>
    <w:rsid w:val="00D126E6"/>
    <w:rsid w:val="00D126F8"/>
    <w:rsid w:val="00D128F5"/>
    <w:rsid w:val="00D12B75"/>
    <w:rsid w:val="00D1303E"/>
    <w:rsid w:val="00D13451"/>
    <w:rsid w:val="00D13820"/>
    <w:rsid w:val="00D13880"/>
    <w:rsid w:val="00D13BBC"/>
    <w:rsid w:val="00D13F9F"/>
    <w:rsid w:val="00D14204"/>
    <w:rsid w:val="00D14728"/>
    <w:rsid w:val="00D1478F"/>
    <w:rsid w:val="00D1552A"/>
    <w:rsid w:val="00D15829"/>
    <w:rsid w:val="00D15D9D"/>
    <w:rsid w:val="00D1624D"/>
    <w:rsid w:val="00D16996"/>
    <w:rsid w:val="00D17869"/>
    <w:rsid w:val="00D1792B"/>
    <w:rsid w:val="00D17F37"/>
    <w:rsid w:val="00D202D3"/>
    <w:rsid w:val="00D2171B"/>
    <w:rsid w:val="00D217CE"/>
    <w:rsid w:val="00D21A77"/>
    <w:rsid w:val="00D21E67"/>
    <w:rsid w:val="00D22148"/>
    <w:rsid w:val="00D22166"/>
    <w:rsid w:val="00D229A3"/>
    <w:rsid w:val="00D22D40"/>
    <w:rsid w:val="00D22ECC"/>
    <w:rsid w:val="00D2348D"/>
    <w:rsid w:val="00D23556"/>
    <w:rsid w:val="00D239F9"/>
    <w:rsid w:val="00D23A1F"/>
    <w:rsid w:val="00D23B89"/>
    <w:rsid w:val="00D23CE2"/>
    <w:rsid w:val="00D2406F"/>
    <w:rsid w:val="00D244D5"/>
    <w:rsid w:val="00D24D04"/>
    <w:rsid w:val="00D25866"/>
    <w:rsid w:val="00D25A61"/>
    <w:rsid w:val="00D25E03"/>
    <w:rsid w:val="00D261FB"/>
    <w:rsid w:val="00D26283"/>
    <w:rsid w:val="00D263B5"/>
    <w:rsid w:val="00D26586"/>
    <w:rsid w:val="00D2664C"/>
    <w:rsid w:val="00D2670D"/>
    <w:rsid w:val="00D26B2E"/>
    <w:rsid w:val="00D26DBE"/>
    <w:rsid w:val="00D27351"/>
    <w:rsid w:val="00D27AAD"/>
    <w:rsid w:val="00D27B06"/>
    <w:rsid w:val="00D27F01"/>
    <w:rsid w:val="00D30373"/>
    <w:rsid w:val="00D309B2"/>
    <w:rsid w:val="00D309D3"/>
    <w:rsid w:val="00D30C46"/>
    <w:rsid w:val="00D30FC7"/>
    <w:rsid w:val="00D31B9F"/>
    <w:rsid w:val="00D31BEA"/>
    <w:rsid w:val="00D31CEF"/>
    <w:rsid w:val="00D328AE"/>
    <w:rsid w:val="00D33313"/>
    <w:rsid w:val="00D333D7"/>
    <w:rsid w:val="00D33410"/>
    <w:rsid w:val="00D33418"/>
    <w:rsid w:val="00D33458"/>
    <w:rsid w:val="00D33AFC"/>
    <w:rsid w:val="00D33C0E"/>
    <w:rsid w:val="00D3410B"/>
    <w:rsid w:val="00D344C9"/>
    <w:rsid w:val="00D358B2"/>
    <w:rsid w:val="00D359BB"/>
    <w:rsid w:val="00D35FCC"/>
    <w:rsid w:val="00D3609F"/>
    <w:rsid w:val="00D3610A"/>
    <w:rsid w:val="00D366C8"/>
    <w:rsid w:val="00D368C6"/>
    <w:rsid w:val="00D36C8E"/>
    <w:rsid w:val="00D36D5A"/>
    <w:rsid w:val="00D374E1"/>
    <w:rsid w:val="00D37A26"/>
    <w:rsid w:val="00D37C2D"/>
    <w:rsid w:val="00D404CE"/>
    <w:rsid w:val="00D40D79"/>
    <w:rsid w:val="00D40E25"/>
    <w:rsid w:val="00D40E78"/>
    <w:rsid w:val="00D40F0F"/>
    <w:rsid w:val="00D40F5C"/>
    <w:rsid w:val="00D41009"/>
    <w:rsid w:val="00D41901"/>
    <w:rsid w:val="00D41CD0"/>
    <w:rsid w:val="00D421D9"/>
    <w:rsid w:val="00D42223"/>
    <w:rsid w:val="00D422E4"/>
    <w:rsid w:val="00D424E7"/>
    <w:rsid w:val="00D426E8"/>
    <w:rsid w:val="00D426FB"/>
    <w:rsid w:val="00D42B71"/>
    <w:rsid w:val="00D42D5D"/>
    <w:rsid w:val="00D43888"/>
    <w:rsid w:val="00D4429F"/>
    <w:rsid w:val="00D44A5C"/>
    <w:rsid w:val="00D44CC3"/>
    <w:rsid w:val="00D45B68"/>
    <w:rsid w:val="00D4601D"/>
    <w:rsid w:val="00D466E5"/>
    <w:rsid w:val="00D467C7"/>
    <w:rsid w:val="00D4688E"/>
    <w:rsid w:val="00D46E3E"/>
    <w:rsid w:val="00D46F2D"/>
    <w:rsid w:val="00D470C1"/>
    <w:rsid w:val="00D47151"/>
    <w:rsid w:val="00D471EF"/>
    <w:rsid w:val="00D475CC"/>
    <w:rsid w:val="00D477E2"/>
    <w:rsid w:val="00D4785C"/>
    <w:rsid w:val="00D47A34"/>
    <w:rsid w:val="00D5044A"/>
    <w:rsid w:val="00D50C82"/>
    <w:rsid w:val="00D50F95"/>
    <w:rsid w:val="00D5102A"/>
    <w:rsid w:val="00D511FC"/>
    <w:rsid w:val="00D512D1"/>
    <w:rsid w:val="00D513F0"/>
    <w:rsid w:val="00D51565"/>
    <w:rsid w:val="00D51AAF"/>
    <w:rsid w:val="00D51F84"/>
    <w:rsid w:val="00D52200"/>
    <w:rsid w:val="00D52400"/>
    <w:rsid w:val="00D527A2"/>
    <w:rsid w:val="00D52A9A"/>
    <w:rsid w:val="00D52E1D"/>
    <w:rsid w:val="00D53387"/>
    <w:rsid w:val="00D53768"/>
    <w:rsid w:val="00D537B0"/>
    <w:rsid w:val="00D54370"/>
    <w:rsid w:val="00D5438E"/>
    <w:rsid w:val="00D5490B"/>
    <w:rsid w:val="00D54C59"/>
    <w:rsid w:val="00D54CA0"/>
    <w:rsid w:val="00D54D88"/>
    <w:rsid w:val="00D5521C"/>
    <w:rsid w:val="00D554E6"/>
    <w:rsid w:val="00D55723"/>
    <w:rsid w:val="00D55B68"/>
    <w:rsid w:val="00D55BD5"/>
    <w:rsid w:val="00D55C37"/>
    <w:rsid w:val="00D56330"/>
    <w:rsid w:val="00D563C2"/>
    <w:rsid w:val="00D56810"/>
    <w:rsid w:val="00D56C31"/>
    <w:rsid w:val="00D56D65"/>
    <w:rsid w:val="00D572B2"/>
    <w:rsid w:val="00D57AC0"/>
    <w:rsid w:val="00D57C20"/>
    <w:rsid w:val="00D57F0A"/>
    <w:rsid w:val="00D60207"/>
    <w:rsid w:val="00D6041F"/>
    <w:rsid w:val="00D60BCB"/>
    <w:rsid w:val="00D60C1A"/>
    <w:rsid w:val="00D60CB2"/>
    <w:rsid w:val="00D60DD4"/>
    <w:rsid w:val="00D610FA"/>
    <w:rsid w:val="00D61652"/>
    <w:rsid w:val="00D61697"/>
    <w:rsid w:val="00D62243"/>
    <w:rsid w:val="00D6278F"/>
    <w:rsid w:val="00D62949"/>
    <w:rsid w:val="00D629D3"/>
    <w:rsid w:val="00D62DEC"/>
    <w:rsid w:val="00D62E00"/>
    <w:rsid w:val="00D63BAD"/>
    <w:rsid w:val="00D63D97"/>
    <w:rsid w:val="00D6410E"/>
    <w:rsid w:val="00D6420A"/>
    <w:rsid w:val="00D643A8"/>
    <w:rsid w:val="00D6447E"/>
    <w:rsid w:val="00D645BF"/>
    <w:rsid w:val="00D647F9"/>
    <w:rsid w:val="00D6485C"/>
    <w:rsid w:val="00D64CB8"/>
    <w:rsid w:val="00D65404"/>
    <w:rsid w:val="00D6575A"/>
    <w:rsid w:val="00D65837"/>
    <w:rsid w:val="00D65DD6"/>
    <w:rsid w:val="00D66008"/>
    <w:rsid w:val="00D66022"/>
    <w:rsid w:val="00D66065"/>
    <w:rsid w:val="00D66C66"/>
    <w:rsid w:val="00D66DAA"/>
    <w:rsid w:val="00D671EF"/>
    <w:rsid w:val="00D67888"/>
    <w:rsid w:val="00D67EA6"/>
    <w:rsid w:val="00D7010A"/>
    <w:rsid w:val="00D7040B"/>
    <w:rsid w:val="00D7066F"/>
    <w:rsid w:val="00D70B5B"/>
    <w:rsid w:val="00D70F5E"/>
    <w:rsid w:val="00D70F87"/>
    <w:rsid w:val="00D7123A"/>
    <w:rsid w:val="00D71399"/>
    <w:rsid w:val="00D71707"/>
    <w:rsid w:val="00D71BD5"/>
    <w:rsid w:val="00D72265"/>
    <w:rsid w:val="00D72BDC"/>
    <w:rsid w:val="00D73118"/>
    <w:rsid w:val="00D73347"/>
    <w:rsid w:val="00D7364D"/>
    <w:rsid w:val="00D73A3C"/>
    <w:rsid w:val="00D73A6B"/>
    <w:rsid w:val="00D73DAD"/>
    <w:rsid w:val="00D73E0D"/>
    <w:rsid w:val="00D74461"/>
    <w:rsid w:val="00D7470B"/>
    <w:rsid w:val="00D74AF7"/>
    <w:rsid w:val="00D7505F"/>
    <w:rsid w:val="00D75199"/>
    <w:rsid w:val="00D75277"/>
    <w:rsid w:val="00D755A0"/>
    <w:rsid w:val="00D75843"/>
    <w:rsid w:val="00D758A1"/>
    <w:rsid w:val="00D75E85"/>
    <w:rsid w:val="00D75F68"/>
    <w:rsid w:val="00D7643F"/>
    <w:rsid w:val="00D7648B"/>
    <w:rsid w:val="00D769F0"/>
    <w:rsid w:val="00D76E0D"/>
    <w:rsid w:val="00D76E83"/>
    <w:rsid w:val="00D771C9"/>
    <w:rsid w:val="00D800A1"/>
    <w:rsid w:val="00D8036A"/>
    <w:rsid w:val="00D80AB8"/>
    <w:rsid w:val="00D80C93"/>
    <w:rsid w:val="00D80CCB"/>
    <w:rsid w:val="00D81303"/>
    <w:rsid w:val="00D81307"/>
    <w:rsid w:val="00D81465"/>
    <w:rsid w:val="00D817FD"/>
    <w:rsid w:val="00D820F3"/>
    <w:rsid w:val="00D829AC"/>
    <w:rsid w:val="00D82AA1"/>
    <w:rsid w:val="00D83401"/>
    <w:rsid w:val="00D83850"/>
    <w:rsid w:val="00D84268"/>
    <w:rsid w:val="00D84278"/>
    <w:rsid w:val="00D846C5"/>
    <w:rsid w:val="00D847C6"/>
    <w:rsid w:val="00D84EF8"/>
    <w:rsid w:val="00D84F16"/>
    <w:rsid w:val="00D86095"/>
    <w:rsid w:val="00D86ACF"/>
    <w:rsid w:val="00D86B37"/>
    <w:rsid w:val="00D86EF6"/>
    <w:rsid w:val="00D87154"/>
    <w:rsid w:val="00D8778A"/>
    <w:rsid w:val="00D91009"/>
    <w:rsid w:val="00D9120D"/>
    <w:rsid w:val="00D9126A"/>
    <w:rsid w:val="00D912DF"/>
    <w:rsid w:val="00D9134B"/>
    <w:rsid w:val="00D9151F"/>
    <w:rsid w:val="00D919F7"/>
    <w:rsid w:val="00D91AEE"/>
    <w:rsid w:val="00D91F8C"/>
    <w:rsid w:val="00D92265"/>
    <w:rsid w:val="00D9230B"/>
    <w:rsid w:val="00D9254D"/>
    <w:rsid w:val="00D92558"/>
    <w:rsid w:val="00D92633"/>
    <w:rsid w:val="00D92CBC"/>
    <w:rsid w:val="00D92FD3"/>
    <w:rsid w:val="00D931F2"/>
    <w:rsid w:val="00D933B9"/>
    <w:rsid w:val="00D938C1"/>
    <w:rsid w:val="00D938CE"/>
    <w:rsid w:val="00D93EF4"/>
    <w:rsid w:val="00D94909"/>
    <w:rsid w:val="00D94BB0"/>
    <w:rsid w:val="00D94FF3"/>
    <w:rsid w:val="00D95322"/>
    <w:rsid w:val="00D955B0"/>
    <w:rsid w:val="00D956A2"/>
    <w:rsid w:val="00D957C0"/>
    <w:rsid w:val="00D95BC2"/>
    <w:rsid w:val="00D95BFF"/>
    <w:rsid w:val="00D95F45"/>
    <w:rsid w:val="00D96AD5"/>
    <w:rsid w:val="00D9793D"/>
    <w:rsid w:val="00D97D08"/>
    <w:rsid w:val="00D97E86"/>
    <w:rsid w:val="00DA000D"/>
    <w:rsid w:val="00DA015E"/>
    <w:rsid w:val="00DA02EC"/>
    <w:rsid w:val="00DA05B0"/>
    <w:rsid w:val="00DA0FC0"/>
    <w:rsid w:val="00DA10F6"/>
    <w:rsid w:val="00DA1D80"/>
    <w:rsid w:val="00DA2046"/>
    <w:rsid w:val="00DA2185"/>
    <w:rsid w:val="00DA23D2"/>
    <w:rsid w:val="00DA29C4"/>
    <w:rsid w:val="00DA2D90"/>
    <w:rsid w:val="00DA3A26"/>
    <w:rsid w:val="00DA3B43"/>
    <w:rsid w:val="00DA3F00"/>
    <w:rsid w:val="00DA43CA"/>
    <w:rsid w:val="00DA4562"/>
    <w:rsid w:val="00DA4788"/>
    <w:rsid w:val="00DA492A"/>
    <w:rsid w:val="00DA49D8"/>
    <w:rsid w:val="00DA518C"/>
    <w:rsid w:val="00DA5655"/>
    <w:rsid w:val="00DA5CA9"/>
    <w:rsid w:val="00DA5E7E"/>
    <w:rsid w:val="00DA714A"/>
    <w:rsid w:val="00DA71AF"/>
    <w:rsid w:val="00DA727D"/>
    <w:rsid w:val="00DA7A85"/>
    <w:rsid w:val="00DA7BC7"/>
    <w:rsid w:val="00DA7E4C"/>
    <w:rsid w:val="00DA7EC1"/>
    <w:rsid w:val="00DB0564"/>
    <w:rsid w:val="00DB0568"/>
    <w:rsid w:val="00DB0D5D"/>
    <w:rsid w:val="00DB0F35"/>
    <w:rsid w:val="00DB1539"/>
    <w:rsid w:val="00DB1F98"/>
    <w:rsid w:val="00DB2557"/>
    <w:rsid w:val="00DB27E1"/>
    <w:rsid w:val="00DB2CDC"/>
    <w:rsid w:val="00DB2CF9"/>
    <w:rsid w:val="00DB2F94"/>
    <w:rsid w:val="00DB2FDC"/>
    <w:rsid w:val="00DB3133"/>
    <w:rsid w:val="00DB3454"/>
    <w:rsid w:val="00DB35C7"/>
    <w:rsid w:val="00DB3719"/>
    <w:rsid w:val="00DB39DE"/>
    <w:rsid w:val="00DB39FE"/>
    <w:rsid w:val="00DB3D0B"/>
    <w:rsid w:val="00DB3D52"/>
    <w:rsid w:val="00DB42C3"/>
    <w:rsid w:val="00DB4322"/>
    <w:rsid w:val="00DB452C"/>
    <w:rsid w:val="00DB4F9D"/>
    <w:rsid w:val="00DB5799"/>
    <w:rsid w:val="00DB5A21"/>
    <w:rsid w:val="00DB5DEB"/>
    <w:rsid w:val="00DB5EBC"/>
    <w:rsid w:val="00DB5EE5"/>
    <w:rsid w:val="00DB6681"/>
    <w:rsid w:val="00DB6FDF"/>
    <w:rsid w:val="00DB70B3"/>
    <w:rsid w:val="00DB749A"/>
    <w:rsid w:val="00DB7E8C"/>
    <w:rsid w:val="00DC0F93"/>
    <w:rsid w:val="00DC1384"/>
    <w:rsid w:val="00DC1479"/>
    <w:rsid w:val="00DC1624"/>
    <w:rsid w:val="00DC1763"/>
    <w:rsid w:val="00DC1FCC"/>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680"/>
    <w:rsid w:val="00DC7890"/>
    <w:rsid w:val="00DC79A3"/>
    <w:rsid w:val="00DC7E92"/>
    <w:rsid w:val="00DD02C4"/>
    <w:rsid w:val="00DD044C"/>
    <w:rsid w:val="00DD09C5"/>
    <w:rsid w:val="00DD128A"/>
    <w:rsid w:val="00DD12B1"/>
    <w:rsid w:val="00DD12B5"/>
    <w:rsid w:val="00DD157A"/>
    <w:rsid w:val="00DD18BD"/>
    <w:rsid w:val="00DD1947"/>
    <w:rsid w:val="00DD1E75"/>
    <w:rsid w:val="00DD1ED7"/>
    <w:rsid w:val="00DD242B"/>
    <w:rsid w:val="00DD2C34"/>
    <w:rsid w:val="00DD2DEB"/>
    <w:rsid w:val="00DD2FE5"/>
    <w:rsid w:val="00DD32DF"/>
    <w:rsid w:val="00DD3401"/>
    <w:rsid w:val="00DD3430"/>
    <w:rsid w:val="00DD3480"/>
    <w:rsid w:val="00DD3565"/>
    <w:rsid w:val="00DD430B"/>
    <w:rsid w:val="00DD49D3"/>
    <w:rsid w:val="00DD4D87"/>
    <w:rsid w:val="00DD59AB"/>
    <w:rsid w:val="00DD5FFE"/>
    <w:rsid w:val="00DD6396"/>
    <w:rsid w:val="00DD6C70"/>
    <w:rsid w:val="00DD6DA2"/>
    <w:rsid w:val="00DD761C"/>
    <w:rsid w:val="00DE0171"/>
    <w:rsid w:val="00DE0333"/>
    <w:rsid w:val="00DE0558"/>
    <w:rsid w:val="00DE067E"/>
    <w:rsid w:val="00DE088E"/>
    <w:rsid w:val="00DE0B96"/>
    <w:rsid w:val="00DE128B"/>
    <w:rsid w:val="00DE14E8"/>
    <w:rsid w:val="00DE1799"/>
    <w:rsid w:val="00DE21CF"/>
    <w:rsid w:val="00DE279F"/>
    <w:rsid w:val="00DE2D4B"/>
    <w:rsid w:val="00DE34C6"/>
    <w:rsid w:val="00DE3E7C"/>
    <w:rsid w:val="00DE42A3"/>
    <w:rsid w:val="00DE464E"/>
    <w:rsid w:val="00DE4664"/>
    <w:rsid w:val="00DE4811"/>
    <w:rsid w:val="00DE4B0C"/>
    <w:rsid w:val="00DE5FDA"/>
    <w:rsid w:val="00DE61AA"/>
    <w:rsid w:val="00DE67AE"/>
    <w:rsid w:val="00DE72D7"/>
    <w:rsid w:val="00DE73EF"/>
    <w:rsid w:val="00DE752E"/>
    <w:rsid w:val="00DE7793"/>
    <w:rsid w:val="00DE7D03"/>
    <w:rsid w:val="00DE7F45"/>
    <w:rsid w:val="00DF02EC"/>
    <w:rsid w:val="00DF0820"/>
    <w:rsid w:val="00DF0D33"/>
    <w:rsid w:val="00DF0E63"/>
    <w:rsid w:val="00DF12DC"/>
    <w:rsid w:val="00DF1300"/>
    <w:rsid w:val="00DF1630"/>
    <w:rsid w:val="00DF1EB6"/>
    <w:rsid w:val="00DF1FD6"/>
    <w:rsid w:val="00DF21AF"/>
    <w:rsid w:val="00DF2412"/>
    <w:rsid w:val="00DF32AF"/>
    <w:rsid w:val="00DF3307"/>
    <w:rsid w:val="00DF35C2"/>
    <w:rsid w:val="00DF360E"/>
    <w:rsid w:val="00DF3623"/>
    <w:rsid w:val="00DF3A2C"/>
    <w:rsid w:val="00DF3F90"/>
    <w:rsid w:val="00DF4158"/>
    <w:rsid w:val="00DF4430"/>
    <w:rsid w:val="00DF4920"/>
    <w:rsid w:val="00DF4DEA"/>
    <w:rsid w:val="00DF4F19"/>
    <w:rsid w:val="00DF5002"/>
    <w:rsid w:val="00DF5270"/>
    <w:rsid w:val="00DF5588"/>
    <w:rsid w:val="00DF5B4C"/>
    <w:rsid w:val="00DF5C89"/>
    <w:rsid w:val="00DF6014"/>
    <w:rsid w:val="00DF61C0"/>
    <w:rsid w:val="00DF6281"/>
    <w:rsid w:val="00DF6531"/>
    <w:rsid w:val="00DF662F"/>
    <w:rsid w:val="00DF6824"/>
    <w:rsid w:val="00DF69A9"/>
    <w:rsid w:val="00DF6A7B"/>
    <w:rsid w:val="00DF6A83"/>
    <w:rsid w:val="00DF7226"/>
    <w:rsid w:val="00DF7BC3"/>
    <w:rsid w:val="00E00368"/>
    <w:rsid w:val="00E005F5"/>
    <w:rsid w:val="00E00A07"/>
    <w:rsid w:val="00E00A92"/>
    <w:rsid w:val="00E01395"/>
    <w:rsid w:val="00E015A5"/>
    <w:rsid w:val="00E019EA"/>
    <w:rsid w:val="00E01A5C"/>
    <w:rsid w:val="00E027C3"/>
    <w:rsid w:val="00E028E6"/>
    <w:rsid w:val="00E02C20"/>
    <w:rsid w:val="00E0324B"/>
    <w:rsid w:val="00E0345F"/>
    <w:rsid w:val="00E03BEA"/>
    <w:rsid w:val="00E0401E"/>
    <w:rsid w:val="00E04234"/>
    <w:rsid w:val="00E046C1"/>
    <w:rsid w:val="00E049EC"/>
    <w:rsid w:val="00E05A43"/>
    <w:rsid w:val="00E05FC4"/>
    <w:rsid w:val="00E06977"/>
    <w:rsid w:val="00E06AF4"/>
    <w:rsid w:val="00E06F6A"/>
    <w:rsid w:val="00E073C8"/>
    <w:rsid w:val="00E07686"/>
    <w:rsid w:val="00E07E45"/>
    <w:rsid w:val="00E1007C"/>
    <w:rsid w:val="00E100DC"/>
    <w:rsid w:val="00E101F9"/>
    <w:rsid w:val="00E102BD"/>
    <w:rsid w:val="00E1039D"/>
    <w:rsid w:val="00E103F8"/>
    <w:rsid w:val="00E104ED"/>
    <w:rsid w:val="00E10504"/>
    <w:rsid w:val="00E10631"/>
    <w:rsid w:val="00E10DA9"/>
    <w:rsid w:val="00E11EB8"/>
    <w:rsid w:val="00E1273A"/>
    <w:rsid w:val="00E12933"/>
    <w:rsid w:val="00E12A5A"/>
    <w:rsid w:val="00E12AF0"/>
    <w:rsid w:val="00E136AE"/>
    <w:rsid w:val="00E139D0"/>
    <w:rsid w:val="00E14262"/>
    <w:rsid w:val="00E143F1"/>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C3F"/>
    <w:rsid w:val="00E17CFB"/>
    <w:rsid w:val="00E200EF"/>
    <w:rsid w:val="00E201E3"/>
    <w:rsid w:val="00E20474"/>
    <w:rsid w:val="00E20661"/>
    <w:rsid w:val="00E20770"/>
    <w:rsid w:val="00E20855"/>
    <w:rsid w:val="00E20862"/>
    <w:rsid w:val="00E20AD1"/>
    <w:rsid w:val="00E214FB"/>
    <w:rsid w:val="00E216A5"/>
    <w:rsid w:val="00E222C6"/>
    <w:rsid w:val="00E2234C"/>
    <w:rsid w:val="00E224C9"/>
    <w:rsid w:val="00E22625"/>
    <w:rsid w:val="00E229F7"/>
    <w:rsid w:val="00E22A10"/>
    <w:rsid w:val="00E22BF5"/>
    <w:rsid w:val="00E22E2F"/>
    <w:rsid w:val="00E22EE3"/>
    <w:rsid w:val="00E23224"/>
    <w:rsid w:val="00E23467"/>
    <w:rsid w:val="00E237D3"/>
    <w:rsid w:val="00E23851"/>
    <w:rsid w:val="00E23ACC"/>
    <w:rsid w:val="00E23ADB"/>
    <w:rsid w:val="00E24553"/>
    <w:rsid w:val="00E24D56"/>
    <w:rsid w:val="00E24ECA"/>
    <w:rsid w:val="00E250DB"/>
    <w:rsid w:val="00E25328"/>
    <w:rsid w:val="00E25334"/>
    <w:rsid w:val="00E25F1D"/>
    <w:rsid w:val="00E25F49"/>
    <w:rsid w:val="00E2617B"/>
    <w:rsid w:val="00E26224"/>
    <w:rsid w:val="00E2690E"/>
    <w:rsid w:val="00E26DD2"/>
    <w:rsid w:val="00E272FE"/>
    <w:rsid w:val="00E30063"/>
    <w:rsid w:val="00E30517"/>
    <w:rsid w:val="00E3070A"/>
    <w:rsid w:val="00E30A72"/>
    <w:rsid w:val="00E30DB2"/>
    <w:rsid w:val="00E31506"/>
    <w:rsid w:val="00E31586"/>
    <w:rsid w:val="00E31AAC"/>
    <w:rsid w:val="00E3200D"/>
    <w:rsid w:val="00E32E0E"/>
    <w:rsid w:val="00E3305B"/>
    <w:rsid w:val="00E33506"/>
    <w:rsid w:val="00E335B1"/>
    <w:rsid w:val="00E33802"/>
    <w:rsid w:val="00E33814"/>
    <w:rsid w:val="00E339C6"/>
    <w:rsid w:val="00E33B8C"/>
    <w:rsid w:val="00E33D92"/>
    <w:rsid w:val="00E33E4D"/>
    <w:rsid w:val="00E34D6F"/>
    <w:rsid w:val="00E34F08"/>
    <w:rsid w:val="00E35029"/>
    <w:rsid w:val="00E35698"/>
    <w:rsid w:val="00E35AC2"/>
    <w:rsid w:val="00E35CDC"/>
    <w:rsid w:val="00E35EB9"/>
    <w:rsid w:val="00E35F47"/>
    <w:rsid w:val="00E3610B"/>
    <w:rsid w:val="00E363B9"/>
    <w:rsid w:val="00E36400"/>
    <w:rsid w:val="00E36AED"/>
    <w:rsid w:val="00E3702B"/>
    <w:rsid w:val="00E377BF"/>
    <w:rsid w:val="00E37C25"/>
    <w:rsid w:val="00E40362"/>
    <w:rsid w:val="00E4038C"/>
    <w:rsid w:val="00E40A63"/>
    <w:rsid w:val="00E41834"/>
    <w:rsid w:val="00E41BAC"/>
    <w:rsid w:val="00E42532"/>
    <w:rsid w:val="00E42D71"/>
    <w:rsid w:val="00E432AE"/>
    <w:rsid w:val="00E434D2"/>
    <w:rsid w:val="00E4356E"/>
    <w:rsid w:val="00E43F1E"/>
    <w:rsid w:val="00E4466A"/>
    <w:rsid w:val="00E447D5"/>
    <w:rsid w:val="00E45041"/>
    <w:rsid w:val="00E450D8"/>
    <w:rsid w:val="00E452D0"/>
    <w:rsid w:val="00E45A9D"/>
    <w:rsid w:val="00E4607D"/>
    <w:rsid w:val="00E460A1"/>
    <w:rsid w:val="00E46CC9"/>
    <w:rsid w:val="00E47D5F"/>
    <w:rsid w:val="00E47D96"/>
    <w:rsid w:val="00E47DF6"/>
    <w:rsid w:val="00E50344"/>
    <w:rsid w:val="00E508D6"/>
    <w:rsid w:val="00E515A3"/>
    <w:rsid w:val="00E51E23"/>
    <w:rsid w:val="00E523F3"/>
    <w:rsid w:val="00E52A15"/>
    <w:rsid w:val="00E52F76"/>
    <w:rsid w:val="00E5315C"/>
    <w:rsid w:val="00E534EA"/>
    <w:rsid w:val="00E538E0"/>
    <w:rsid w:val="00E53F95"/>
    <w:rsid w:val="00E547DF"/>
    <w:rsid w:val="00E54D33"/>
    <w:rsid w:val="00E564C1"/>
    <w:rsid w:val="00E56898"/>
    <w:rsid w:val="00E56D97"/>
    <w:rsid w:val="00E56E3C"/>
    <w:rsid w:val="00E56F3C"/>
    <w:rsid w:val="00E5711F"/>
    <w:rsid w:val="00E571C0"/>
    <w:rsid w:val="00E57456"/>
    <w:rsid w:val="00E57623"/>
    <w:rsid w:val="00E57973"/>
    <w:rsid w:val="00E6000E"/>
    <w:rsid w:val="00E60050"/>
    <w:rsid w:val="00E6014B"/>
    <w:rsid w:val="00E602C9"/>
    <w:rsid w:val="00E608B7"/>
    <w:rsid w:val="00E608E1"/>
    <w:rsid w:val="00E60E12"/>
    <w:rsid w:val="00E60F80"/>
    <w:rsid w:val="00E6134E"/>
    <w:rsid w:val="00E613CE"/>
    <w:rsid w:val="00E61DAC"/>
    <w:rsid w:val="00E61F86"/>
    <w:rsid w:val="00E62AF2"/>
    <w:rsid w:val="00E62C6B"/>
    <w:rsid w:val="00E62DDA"/>
    <w:rsid w:val="00E630F7"/>
    <w:rsid w:val="00E63A8C"/>
    <w:rsid w:val="00E63C84"/>
    <w:rsid w:val="00E643D0"/>
    <w:rsid w:val="00E64763"/>
    <w:rsid w:val="00E647DC"/>
    <w:rsid w:val="00E6484F"/>
    <w:rsid w:val="00E64B4F"/>
    <w:rsid w:val="00E65A35"/>
    <w:rsid w:val="00E65E6B"/>
    <w:rsid w:val="00E6640D"/>
    <w:rsid w:val="00E6666C"/>
    <w:rsid w:val="00E666A1"/>
    <w:rsid w:val="00E6682F"/>
    <w:rsid w:val="00E6713B"/>
    <w:rsid w:val="00E67631"/>
    <w:rsid w:val="00E7041A"/>
    <w:rsid w:val="00E705E5"/>
    <w:rsid w:val="00E70B0C"/>
    <w:rsid w:val="00E71166"/>
    <w:rsid w:val="00E71952"/>
    <w:rsid w:val="00E71DF1"/>
    <w:rsid w:val="00E71EDB"/>
    <w:rsid w:val="00E723D3"/>
    <w:rsid w:val="00E723E6"/>
    <w:rsid w:val="00E7242A"/>
    <w:rsid w:val="00E72737"/>
    <w:rsid w:val="00E72ABE"/>
    <w:rsid w:val="00E72BCC"/>
    <w:rsid w:val="00E739A7"/>
    <w:rsid w:val="00E73E01"/>
    <w:rsid w:val="00E7449A"/>
    <w:rsid w:val="00E744BD"/>
    <w:rsid w:val="00E74B5A"/>
    <w:rsid w:val="00E7524F"/>
    <w:rsid w:val="00E7556D"/>
    <w:rsid w:val="00E75693"/>
    <w:rsid w:val="00E756FB"/>
    <w:rsid w:val="00E75918"/>
    <w:rsid w:val="00E76141"/>
    <w:rsid w:val="00E76270"/>
    <w:rsid w:val="00E76B45"/>
    <w:rsid w:val="00E77040"/>
    <w:rsid w:val="00E772C4"/>
    <w:rsid w:val="00E77484"/>
    <w:rsid w:val="00E77655"/>
    <w:rsid w:val="00E77B90"/>
    <w:rsid w:val="00E8016D"/>
    <w:rsid w:val="00E810EC"/>
    <w:rsid w:val="00E8112C"/>
    <w:rsid w:val="00E81587"/>
    <w:rsid w:val="00E826C8"/>
    <w:rsid w:val="00E82819"/>
    <w:rsid w:val="00E82EE0"/>
    <w:rsid w:val="00E83280"/>
    <w:rsid w:val="00E832C9"/>
    <w:rsid w:val="00E8344D"/>
    <w:rsid w:val="00E83469"/>
    <w:rsid w:val="00E839A9"/>
    <w:rsid w:val="00E83E6E"/>
    <w:rsid w:val="00E8412F"/>
    <w:rsid w:val="00E843EF"/>
    <w:rsid w:val="00E84661"/>
    <w:rsid w:val="00E84934"/>
    <w:rsid w:val="00E84A69"/>
    <w:rsid w:val="00E84BAF"/>
    <w:rsid w:val="00E853AC"/>
    <w:rsid w:val="00E85483"/>
    <w:rsid w:val="00E86057"/>
    <w:rsid w:val="00E861F7"/>
    <w:rsid w:val="00E864CA"/>
    <w:rsid w:val="00E86647"/>
    <w:rsid w:val="00E86BF7"/>
    <w:rsid w:val="00E87078"/>
    <w:rsid w:val="00E87182"/>
    <w:rsid w:val="00E879F0"/>
    <w:rsid w:val="00E87AE6"/>
    <w:rsid w:val="00E87BC7"/>
    <w:rsid w:val="00E90BF3"/>
    <w:rsid w:val="00E91139"/>
    <w:rsid w:val="00E915E1"/>
    <w:rsid w:val="00E919F0"/>
    <w:rsid w:val="00E91BF2"/>
    <w:rsid w:val="00E91DD4"/>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62"/>
    <w:rsid w:val="00E95754"/>
    <w:rsid w:val="00E959A9"/>
    <w:rsid w:val="00E95A9A"/>
    <w:rsid w:val="00E9627E"/>
    <w:rsid w:val="00E96C84"/>
    <w:rsid w:val="00E96F40"/>
    <w:rsid w:val="00E96FBC"/>
    <w:rsid w:val="00E9702D"/>
    <w:rsid w:val="00E97353"/>
    <w:rsid w:val="00E9738B"/>
    <w:rsid w:val="00E97410"/>
    <w:rsid w:val="00E97507"/>
    <w:rsid w:val="00E97512"/>
    <w:rsid w:val="00EA0281"/>
    <w:rsid w:val="00EA0BD3"/>
    <w:rsid w:val="00EA0BFA"/>
    <w:rsid w:val="00EA0E05"/>
    <w:rsid w:val="00EA0E10"/>
    <w:rsid w:val="00EA0EAB"/>
    <w:rsid w:val="00EA1B4A"/>
    <w:rsid w:val="00EA1CC1"/>
    <w:rsid w:val="00EA2271"/>
    <w:rsid w:val="00EA2406"/>
    <w:rsid w:val="00EA2585"/>
    <w:rsid w:val="00EA2730"/>
    <w:rsid w:val="00EA3641"/>
    <w:rsid w:val="00EA3D67"/>
    <w:rsid w:val="00EA3DB9"/>
    <w:rsid w:val="00EA475F"/>
    <w:rsid w:val="00EA4A36"/>
    <w:rsid w:val="00EA5029"/>
    <w:rsid w:val="00EA5335"/>
    <w:rsid w:val="00EA630B"/>
    <w:rsid w:val="00EA6E29"/>
    <w:rsid w:val="00EA6FAE"/>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32"/>
    <w:rsid w:val="00EB42C8"/>
    <w:rsid w:val="00EB461B"/>
    <w:rsid w:val="00EB534C"/>
    <w:rsid w:val="00EB55D2"/>
    <w:rsid w:val="00EB56E5"/>
    <w:rsid w:val="00EB5A08"/>
    <w:rsid w:val="00EB5C31"/>
    <w:rsid w:val="00EB6721"/>
    <w:rsid w:val="00EB6BC2"/>
    <w:rsid w:val="00EB6C53"/>
    <w:rsid w:val="00EB720A"/>
    <w:rsid w:val="00EB749C"/>
    <w:rsid w:val="00EB7675"/>
    <w:rsid w:val="00EB7832"/>
    <w:rsid w:val="00EB7B45"/>
    <w:rsid w:val="00EB7C50"/>
    <w:rsid w:val="00EB7E4D"/>
    <w:rsid w:val="00EB7E97"/>
    <w:rsid w:val="00EB7FAA"/>
    <w:rsid w:val="00EB7FE8"/>
    <w:rsid w:val="00EC05B8"/>
    <w:rsid w:val="00EC06DE"/>
    <w:rsid w:val="00EC0E69"/>
    <w:rsid w:val="00EC183D"/>
    <w:rsid w:val="00EC1D83"/>
    <w:rsid w:val="00EC1FE9"/>
    <w:rsid w:val="00EC28CD"/>
    <w:rsid w:val="00EC2915"/>
    <w:rsid w:val="00EC2C50"/>
    <w:rsid w:val="00EC2CD8"/>
    <w:rsid w:val="00EC2E21"/>
    <w:rsid w:val="00EC30FE"/>
    <w:rsid w:val="00EC3500"/>
    <w:rsid w:val="00EC36DD"/>
    <w:rsid w:val="00EC3E31"/>
    <w:rsid w:val="00EC3E81"/>
    <w:rsid w:val="00EC3EC8"/>
    <w:rsid w:val="00EC44E7"/>
    <w:rsid w:val="00EC4D77"/>
    <w:rsid w:val="00EC4D7B"/>
    <w:rsid w:val="00EC4E2E"/>
    <w:rsid w:val="00EC555C"/>
    <w:rsid w:val="00EC60A1"/>
    <w:rsid w:val="00EC614D"/>
    <w:rsid w:val="00EC6337"/>
    <w:rsid w:val="00EC6D31"/>
    <w:rsid w:val="00EC6D68"/>
    <w:rsid w:val="00EC6D82"/>
    <w:rsid w:val="00EC7183"/>
    <w:rsid w:val="00EC71AB"/>
    <w:rsid w:val="00EC7EE8"/>
    <w:rsid w:val="00ED0DE8"/>
    <w:rsid w:val="00ED0EB9"/>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122"/>
    <w:rsid w:val="00ED54F7"/>
    <w:rsid w:val="00ED5580"/>
    <w:rsid w:val="00ED58F2"/>
    <w:rsid w:val="00ED6100"/>
    <w:rsid w:val="00ED6E4E"/>
    <w:rsid w:val="00ED7BAF"/>
    <w:rsid w:val="00EE0318"/>
    <w:rsid w:val="00EE08BC"/>
    <w:rsid w:val="00EE0935"/>
    <w:rsid w:val="00EE09EA"/>
    <w:rsid w:val="00EE0A49"/>
    <w:rsid w:val="00EE15CA"/>
    <w:rsid w:val="00EE18BB"/>
    <w:rsid w:val="00EE1938"/>
    <w:rsid w:val="00EE1CDA"/>
    <w:rsid w:val="00EE24B7"/>
    <w:rsid w:val="00EE286B"/>
    <w:rsid w:val="00EE2AAB"/>
    <w:rsid w:val="00EE3196"/>
    <w:rsid w:val="00EE3203"/>
    <w:rsid w:val="00EE3318"/>
    <w:rsid w:val="00EE33A6"/>
    <w:rsid w:val="00EE3DCB"/>
    <w:rsid w:val="00EE4825"/>
    <w:rsid w:val="00EE5112"/>
    <w:rsid w:val="00EE58F6"/>
    <w:rsid w:val="00EE62B4"/>
    <w:rsid w:val="00EE636D"/>
    <w:rsid w:val="00EE6678"/>
    <w:rsid w:val="00EE66B1"/>
    <w:rsid w:val="00EE687C"/>
    <w:rsid w:val="00EE7047"/>
    <w:rsid w:val="00EE752C"/>
    <w:rsid w:val="00EE7D91"/>
    <w:rsid w:val="00EE7ECE"/>
    <w:rsid w:val="00EE7F2E"/>
    <w:rsid w:val="00EF082A"/>
    <w:rsid w:val="00EF0E50"/>
    <w:rsid w:val="00EF16D6"/>
    <w:rsid w:val="00EF17D0"/>
    <w:rsid w:val="00EF209D"/>
    <w:rsid w:val="00EF20FD"/>
    <w:rsid w:val="00EF2457"/>
    <w:rsid w:val="00EF2786"/>
    <w:rsid w:val="00EF28E6"/>
    <w:rsid w:val="00EF31F0"/>
    <w:rsid w:val="00EF3A28"/>
    <w:rsid w:val="00EF3A3D"/>
    <w:rsid w:val="00EF3A4A"/>
    <w:rsid w:val="00EF3AFE"/>
    <w:rsid w:val="00EF3D41"/>
    <w:rsid w:val="00EF3D43"/>
    <w:rsid w:val="00EF3EE0"/>
    <w:rsid w:val="00EF3FCB"/>
    <w:rsid w:val="00EF493B"/>
    <w:rsid w:val="00EF4F32"/>
    <w:rsid w:val="00EF5326"/>
    <w:rsid w:val="00EF57F7"/>
    <w:rsid w:val="00EF5861"/>
    <w:rsid w:val="00EF61C2"/>
    <w:rsid w:val="00EF6EF5"/>
    <w:rsid w:val="00EF6F6C"/>
    <w:rsid w:val="00EF71EE"/>
    <w:rsid w:val="00EF77C3"/>
    <w:rsid w:val="00EF785E"/>
    <w:rsid w:val="00EF7878"/>
    <w:rsid w:val="00EF7F14"/>
    <w:rsid w:val="00EF7F47"/>
    <w:rsid w:val="00F000F0"/>
    <w:rsid w:val="00F00180"/>
    <w:rsid w:val="00F004AB"/>
    <w:rsid w:val="00F006E4"/>
    <w:rsid w:val="00F00923"/>
    <w:rsid w:val="00F00C9D"/>
    <w:rsid w:val="00F00FF1"/>
    <w:rsid w:val="00F0109A"/>
    <w:rsid w:val="00F01571"/>
    <w:rsid w:val="00F0197D"/>
    <w:rsid w:val="00F01A58"/>
    <w:rsid w:val="00F023A1"/>
    <w:rsid w:val="00F026AE"/>
    <w:rsid w:val="00F027FF"/>
    <w:rsid w:val="00F02B5B"/>
    <w:rsid w:val="00F02CEF"/>
    <w:rsid w:val="00F0301D"/>
    <w:rsid w:val="00F032DF"/>
    <w:rsid w:val="00F0372A"/>
    <w:rsid w:val="00F0388F"/>
    <w:rsid w:val="00F03891"/>
    <w:rsid w:val="00F046FD"/>
    <w:rsid w:val="00F04D51"/>
    <w:rsid w:val="00F05EED"/>
    <w:rsid w:val="00F068D2"/>
    <w:rsid w:val="00F06F02"/>
    <w:rsid w:val="00F07D39"/>
    <w:rsid w:val="00F10437"/>
    <w:rsid w:val="00F10465"/>
    <w:rsid w:val="00F10780"/>
    <w:rsid w:val="00F10864"/>
    <w:rsid w:val="00F10EB6"/>
    <w:rsid w:val="00F1165E"/>
    <w:rsid w:val="00F11CF5"/>
    <w:rsid w:val="00F12909"/>
    <w:rsid w:val="00F12B3D"/>
    <w:rsid w:val="00F13242"/>
    <w:rsid w:val="00F1403E"/>
    <w:rsid w:val="00F140FE"/>
    <w:rsid w:val="00F1415B"/>
    <w:rsid w:val="00F1418D"/>
    <w:rsid w:val="00F14FB4"/>
    <w:rsid w:val="00F15CF3"/>
    <w:rsid w:val="00F165FF"/>
    <w:rsid w:val="00F16BB1"/>
    <w:rsid w:val="00F171EF"/>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444"/>
    <w:rsid w:val="00F22C96"/>
    <w:rsid w:val="00F22FC1"/>
    <w:rsid w:val="00F2312E"/>
    <w:rsid w:val="00F2357F"/>
    <w:rsid w:val="00F23BD0"/>
    <w:rsid w:val="00F23D7A"/>
    <w:rsid w:val="00F23FCA"/>
    <w:rsid w:val="00F24397"/>
    <w:rsid w:val="00F2456B"/>
    <w:rsid w:val="00F2457D"/>
    <w:rsid w:val="00F24A57"/>
    <w:rsid w:val="00F24A9F"/>
    <w:rsid w:val="00F24D96"/>
    <w:rsid w:val="00F24F4D"/>
    <w:rsid w:val="00F24FA0"/>
    <w:rsid w:val="00F25088"/>
    <w:rsid w:val="00F25157"/>
    <w:rsid w:val="00F255A5"/>
    <w:rsid w:val="00F25EB4"/>
    <w:rsid w:val="00F25F62"/>
    <w:rsid w:val="00F2617C"/>
    <w:rsid w:val="00F2643A"/>
    <w:rsid w:val="00F26886"/>
    <w:rsid w:val="00F2699C"/>
    <w:rsid w:val="00F27000"/>
    <w:rsid w:val="00F27776"/>
    <w:rsid w:val="00F27E0C"/>
    <w:rsid w:val="00F27F00"/>
    <w:rsid w:val="00F3002F"/>
    <w:rsid w:val="00F30353"/>
    <w:rsid w:val="00F3075E"/>
    <w:rsid w:val="00F308C0"/>
    <w:rsid w:val="00F318E7"/>
    <w:rsid w:val="00F31F17"/>
    <w:rsid w:val="00F3236F"/>
    <w:rsid w:val="00F32374"/>
    <w:rsid w:val="00F32DD1"/>
    <w:rsid w:val="00F32F0E"/>
    <w:rsid w:val="00F32F3E"/>
    <w:rsid w:val="00F3333E"/>
    <w:rsid w:val="00F333F7"/>
    <w:rsid w:val="00F3383E"/>
    <w:rsid w:val="00F33DF0"/>
    <w:rsid w:val="00F34286"/>
    <w:rsid w:val="00F342E5"/>
    <w:rsid w:val="00F346BC"/>
    <w:rsid w:val="00F348A3"/>
    <w:rsid w:val="00F34F52"/>
    <w:rsid w:val="00F351DE"/>
    <w:rsid w:val="00F3521B"/>
    <w:rsid w:val="00F35561"/>
    <w:rsid w:val="00F35865"/>
    <w:rsid w:val="00F35E92"/>
    <w:rsid w:val="00F360BA"/>
    <w:rsid w:val="00F366CE"/>
    <w:rsid w:val="00F369FF"/>
    <w:rsid w:val="00F377A2"/>
    <w:rsid w:val="00F37922"/>
    <w:rsid w:val="00F37AEF"/>
    <w:rsid w:val="00F37C39"/>
    <w:rsid w:val="00F37DC6"/>
    <w:rsid w:val="00F37E70"/>
    <w:rsid w:val="00F40C88"/>
    <w:rsid w:val="00F413BA"/>
    <w:rsid w:val="00F41576"/>
    <w:rsid w:val="00F41D1F"/>
    <w:rsid w:val="00F426B0"/>
    <w:rsid w:val="00F42910"/>
    <w:rsid w:val="00F42C2B"/>
    <w:rsid w:val="00F44833"/>
    <w:rsid w:val="00F45B82"/>
    <w:rsid w:val="00F46694"/>
    <w:rsid w:val="00F467B0"/>
    <w:rsid w:val="00F4683A"/>
    <w:rsid w:val="00F46E40"/>
    <w:rsid w:val="00F46EAB"/>
    <w:rsid w:val="00F46F8B"/>
    <w:rsid w:val="00F47132"/>
    <w:rsid w:val="00F47728"/>
    <w:rsid w:val="00F4786E"/>
    <w:rsid w:val="00F47AF4"/>
    <w:rsid w:val="00F47AFE"/>
    <w:rsid w:val="00F47CBA"/>
    <w:rsid w:val="00F47CF5"/>
    <w:rsid w:val="00F50020"/>
    <w:rsid w:val="00F50671"/>
    <w:rsid w:val="00F50849"/>
    <w:rsid w:val="00F510D3"/>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54"/>
    <w:rsid w:val="00F538CD"/>
    <w:rsid w:val="00F53AD8"/>
    <w:rsid w:val="00F54070"/>
    <w:rsid w:val="00F54192"/>
    <w:rsid w:val="00F542D8"/>
    <w:rsid w:val="00F54460"/>
    <w:rsid w:val="00F548C8"/>
    <w:rsid w:val="00F54B39"/>
    <w:rsid w:val="00F550B5"/>
    <w:rsid w:val="00F553D1"/>
    <w:rsid w:val="00F55410"/>
    <w:rsid w:val="00F558E3"/>
    <w:rsid w:val="00F55AC5"/>
    <w:rsid w:val="00F564B4"/>
    <w:rsid w:val="00F56D31"/>
    <w:rsid w:val="00F57183"/>
    <w:rsid w:val="00F5765A"/>
    <w:rsid w:val="00F57C72"/>
    <w:rsid w:val="00F57E51"/>
    <w:rsid w:val="00F6021A"/>
    <w:rsid w:val="00F6021F"/>
    <w:rsid w:val="00F60845"/>
    <w:rsid w:val="00F61158"/>
    <w:rsid w:val="00F614D1"/>
    <w:rsid w:val="00F614DB"/>
    <w:rsid w:val="00F6150E"/>
    <w:rsid w:val="00F61564"/>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4B01"/>
    <w:rsid w:val="00F65920"/>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9A"/>
    <w:rsid w:val="00F721A1"/>
    <w:rsid w:val="00F724E3"/>
    <w:rsid w:val="00F727AA"/>
    <w:rsid w:val="00F72C94"/>
    <w:rsid w:val="00F73010"/>
    <w:rsid w:val="00F7315E"/>
    <w:rsid w:val="00F737F5"/>
    <w:rsid w:val="00F73F43"/>
    <w:rsid w:val="00F74664"/>
    <w:rsid w:val="00F74791"/>
    <w:rsid w:val="00F747FD"/>
    <w:rsid w:val="00F74A7A"/>
    <w:rsid w:val="00F75057"/>
    <w:rsid w:val="00F75C0B"/>
    <w:rsid w:val="00F763DF"/>
    <w:rsid w:val="00F77028"/>
    <w:rsid w:val="00F7792A"/>
    <w:rsid w:val="00F77A6F"/>
    <w:rsid w:val="00F77C47"/>
    <w:rsid w:val="00F77C4B"/>
    <w:rsid w:val="00F77CFA"/>
    <w:rsid w:val="00F802D3"/>
    <w:rsid w:val="00F80A32"/>
    <w:rsid w:val="00F80D8F"/>
    <w:rsid w:val="00F8116A"/>
    <w:rsid w:val="00F81311"/>
    <w:rsid w:val="00F81625"/>
    <w:rsid w:val="00F81A54"/>
    <w:rsid w:val="00F81B5F"/>
    <w:rsid w:val="00F81E0E"/>
    <w:rsid w:val="00F81F25"/>
    <w:rsid w:val="00F82272"/>
    <w:rsid w:val="00F825FF"/>
    <w:rsid w:val="00F82760"/>
    <w:rsid w:val="00F82956"/>
    <w:rsid w:val="00F82A7D"/>
    <w:rsid w:val="00F82D8E"/>
    <w:rsid w:val="00F83301"/>
    <w:rsid w:val="00F837DD"/>
    <w:rsid w:val="00F849D7"/>
    <w:rsid w:val="00F84A2F"/>
    <w:rsid w:val="00F84BAB"/>
    <w:rsid w:val="00F850EB"/>
    <w:rsid w:val="00F852D1"/>
    <w:rsid w:val="00F855CB"/>
    <w:rsid w:val="00F85744"/>
    <w:rsid w:val="00F86165"/>
    <w:rsid w:val="00F862CA"/>
    <w:rsid w:val="00F863EB"/>
    <w:rsid w:val="00F86B20"/>
    <w:rsid w:val="00F86C43"/>
    <w:rsid w:val="00F86E37"/>
    <w:rsid w:val="00F86F84"/>
    <w:rsid w:val="00F8718E"/>
    <w:rsid w:val="00F87201"/>
    <w:rsid w:val="00F87317"/>
    <w:rsid w:val="00F873E6"/>
    <w:rsid w:val="00F879C6"/>
    <w:rsid w:val="00F87D07"/>
    <w:rsid w:val="00F87D16"/>
    <w:rsid w:val="00F901C2"/>
    <w:rsid w:val="00F902D2"/>
    <w:rsid w:val="00F90391"/>
    <w:rsid w:val="00F9046C"/>
    <w:rsid w:val="00F90BE4"/>
    <w:rsid w:val="00F90C86"/>
    <w:rsid w:val="00F90CDA"/>
    <w:rsid w:val="00F90F6C"/>
    <w:rsid w:val="00F90FD6"/>
    <w:rsid w:val="00F910E4"/>
    <w:rsid w:val="00F915AB"/>
    <w:rsid w:val="00F9174D"/>
    <w:rsid w:val="00F91906"/>
    <w:rsid w:val="00F91932"/>
    <w:rsid w:val="00F91CA2"/>
    <w:rsid w:val="00F91DAC"/>
    <w:rsid w:val="00F92174"/>
    <w:rsid w:val="00F921D8"/>
    <w:rsid w:val="00F923DB"/>
    <w:rsid w:val="00F92725"/>
    <w:rsid w:val="00F92A1A"/>
    <w:rsid w:val="00F9357A"/>
    <w:rsid w:val="00F9360D"/>
    <w:rsid w:val="00F939E7"/>
    <w:rsid w:val="00F93A3D"/>
    <w:rsid w:val="00F93A5F"/>
    <w:rsid w:val="00F94003"/>
    <w:rsid w:val="00F945E2"/>
    <w:rsid w:val="00F94737"/>
    <w:rsid w:val="00F9495D"/>
    <w:rsid w:val="00F95013"/>
    <w:rsid w:val="00F951BD"/>
    <w:rsid w:val="00F9590D"/>
    <w:rsid w:val="00F9632D"/>
    <w:rsid w:val="00F9635B"/>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2EB9"/>
    <w:rsid w:val="00FA33A2"/>
    <w:rsid w:val="00FA3871"/>
    <w:rsid w:val="00FA3C84"/>
    <w:rsid w:val="00FA4131"/>
    <w:rsid w:val="00FA4EDE"/>
    <w:rsid w:val="00FA50E8"/>
    <w:rsid w:val="00FA526F"/>
    <w:rsid w:val="00FA53C1"/>
    <w:rsid w:val="00FA5527"/>
    <w:rsid w:val="00FA558C"/>
    <w:rsid w:val="00FA5710"/>
    <w:rsid w:val="00FA5871"/>
    <w:rsid w:val="00FA589E"/>
    <w:rsid w:val="00FA5909"/>
    <w:rsid w:val="00FA5A96"/>
    <w:rsid w:val="00FA5DF2"/>
    <w:rsid w:val="00FA6225"/>
    <w:rsid w:val="00FA656D"/>
    <w:rsid w:val="00FA65C9"/>
    <w:rsid w:val="00FA6686"/>
    <w:rsid w:val="00FA680F"/>
    <w:rsid w:val="00FA6A8C"/>
    <w:rsid w:val="00FA6E07"/>
    <w:rsid w:val="00FA7A20"/>
    <w:rsid w:val="00FA7AA6"/>
    <w:rsid w:val="00FA7C04"/>
    <w:rsid w:val="00FB0443"/>
    <w:rsid w:val="00FB0540"/>
    <w:rsid w:val="00FB1309"/>
    <w:rsid w:val="00FB15D5"/>
    <w:rsid w:val="00FB18E8"/>
    <w:rsid w:val="00FB19D8"/>
    <w:rsid w:val="00FB22E5"/>
    <w:rsid w:val="00FB2864"/>
    <w:rsid w:val="00FB2F94"/>
    <w:rsid w:val="00FB3CD6"/>
    <w:rsid w:val="00FB4065"/>
    <w:rsid w:val="00FB4760"/>
    <w:rsid w:val="00FB47B5"/>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90"/>
    <w:rsid w:val="00FC1859"/>
    <w:rsid w:val="00FC1AB5"/>
    <w:rsid w:val="00FC1E51"/>
    <w:rsid w:val="00FC22FE"/>
    <w:rsid w:val="00FC23FA"/>
    <w:rsid w:val="00FC2742"/>
    <w:rsid w:val="00FC2F53"/>
    <w:rsid w:val="00FC338D"/>
    <w:rsid w:val="00FC37F0"/>
    <w:rsid w:val="00FC3B07"/>
    <w:rsid w:val="00FC3BBC"/>
    <w:rsid w:val="00FC3EEB"/>
    <w:rsid w:val="00FC4278"/>
    <w:rsid w:val="00FC4423"/>
    <w:rsid w:val="00FC47CD"/>
    <w:rsid w:val="00FC47D1"/>
    <w:rsid w:val="00FC4CA4"/>
    <w:rsid w:val="00FC4ED1"/>
    <w:rsid w:val="00FC4F3D"/>
    <w:rsid w:val="00FC545C"/>
    <w:rsid w:val="00FC553E"/>
    <w:rsid w:val="00FC65A0"/>
    <w:rsid w:val="00FC6624"/>
    <w:rsid w:val="00FC6B41"/>
    <w:rsid w:val="00FC6D8C"/>
    <w:rsid w:val="00FC6DA4"/>
    <w:rsid w:val="00FC791E"/>
    <w:rsid w:val="00FC7F93"/>
    <w:rsid w:val="00FD012B"/>
    <w:rsid w:val="00FD10D2"/>
    <w:rsid w:val="00FD1446"/>
    <w:rsid w:val="00FD235B"/>
    <w:rsid w:val="00FD2804"/>
    <w:rsid w:val="00FD282A"/>
    <w:rsid w:val="00FD2A71"/>
    <w:rsid w:val="00FD3124"/>
    <w:rsid w:val="00FD3905"/>
    <w:rsid w:val="00FD4CC0"/>
    <w:rsid w:val="00FD5999"/>
    <w:rsid w:val="00FD6318"/>
    <w:rsid w:val="00FD6A3D"/>
    <w:rsid w:val="00FD6D13"/>
    <w:rsid w:val="00FD6F9D"/>
    <w:rsid w:val="00FD72D9"/>
    <w:rsid w:val="00FD73AE"/>
    <w:rsid w:val="00FD774E"/>
    <w:rsid w:val="00FD7D6B"/>
    <w:rsid w:val="00FE00DC"/>
    <w:rsid w:val="00FE0477"/>
    <w:rsid w:val="00FE0657"/>
    <w:rsid w:val="00FE092D"/>
    <w:rsid w:val="00FE0E08"/>
    <w:rsid w:val="00FE15F5"/>
    <w:rsid w:val="00FE1728"/>
    <w:rsid w:val="00FE1EC0"/>
    <w:rsid w:val="00FE1FA1"/>
    <w:rsid w:val="00FE22FE"/>
    <w:rsid w:val="00FE2B7B"/>
    <w:rsid w:val="00FE3100"/>
    <w:rsid w:val="00FE326E"/>
    <w:rsid w:val="00FE3768"/>
    <w:rsid w:val="00FE3D47"/>
    <w:rsid w:val="00FE42C4"/>
    <w:rsid w:val="00FE47B0"/>
    <w:rsid w:val="00FE5172"/>
    <w:rsid w:val="00FE5236"/>
    <w:rsid w:val="00FE53E8"/>
    <w:rsid w:val="00FE5977"/>
    <w:rsid w:val="00FE5C99"/>
    <w:rsid w:val="00FE5CB2"/>
    <w:rsid w:val="00FE65DB"/>
    <w:rsid w:val="00FE6DEC"/>
    <w:rsid w:val="00FE7266"/>
    <w:rsid w:val="00FE74E2"/>
    <w:rsid w:val="00FE74FC"/>
    <w:rsid w:val="00FE761D"/>
    <w:rsid w:val="00FE76FA"/>
    <w:rsid w:val="00FE7A09"/>
    <w:rsid w:val="00FF00B6"/>
    <w:rsid w:val="00FF01C5"/>
    <w:rsid w:val="00FF0224"/>
    <w:rsid w:val="00FF0289"/>
    <w:rsid w:val="00FF02D6"/>
    <w:rsid w:val="00FF0895"/>
    <w:rsid w:val="00FF0BBB"/>
    <w:rsid w:val="00FF1455"/>
    <w:rsid w:val="00FF1716"/>
    <w:rsid w:val="00FF1920"/>
    <w:rsid w:val="00FF1ACF"/>
    <w:rsid w:val="00FF2644"/>
    <w:rsid w:val="00FF26B7"/>
    <w:rsid w:val="00FF2A88"/>
    <w:rsid w:val="00FF37C5"/>
    <w:rsid w:val="00FF3A12"/>
    <w:rsid w:val="00FF3C0B"/>
    <w:rsid w:val="00FF3CFC"/>
    <w:rsid w:val="00FF40CB"/>
    <w:rsid w:val="00FF43AF"/>
    <w:rsid w:val="00FF48E0"/>
    <w:rsid w:val="00FF5026"/>
    <w:rsid w:val="00FF5173"/>
    <w:rsid w:val="00FF51D0"/>
    <w:rsid w:val="00FF52CC"/>
    <w:rsid w:val="00FF52E3"/>
    <w:rsid w:val="00FF5D1A"/>
    <w:rsid w:val="00FF609A"/>
    <w:rsid w:val="00FF6CF6"/>
    <w:rsid w:val="00FF70CF"/>
    <w:rsid w:val="00FF72A3"/>
    <w:rsid w:val="00FF74BE"/>
    <w:rsid w:val="00FF75D0"/>
    <w:rsid w:val="00FF78DB"/>
    <w:rsid w:val="00FF7A04"/>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2"/>
    <o:shapelayout v:ext="edit">
      <o:idmap v:ext="edit" data="1"/>
    </o:shapelayout>
  </w:shapeDefaults>
  <w:decimalSymbol w:val="."/>
  <w:listSeparator w:val=","/>
  <w14:docId w14:val="43B7F878"/>
  <w15:docId w15:val="{3FABF6FE-F162-4AA9-B430-4FFE50C5FC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Caption Char1 Char,cap Char Char1,Caption Char Char1 Char,cap Char2,条目"/>
    <w:basedOn w:val="Normal"/>
    <w:next w:val="Normal"/>
    <w:link w:val="CaptionChar1"/>
    <w:uiPriority w:val="99"/>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
    <w:basedOn w:val="Normal"/>
    <w:link w:val="ListParagraphChar"/>
    <w:uiPriority w:val="34"/>
    <w:qFormat/>
    <w:rsid w:val="00105EFB"/>
    <w:pPr>
      <w:numPr>
        <w:numId w:val="6"/>
      </w:numPr>
      <w:overflowPunct/>
      <w:autoSpaceDE/>
      <w:autoSpaceDN/>
      <w:adjustRightInd/>
      <w:spacing w:after="120"/>
      <w:textAlignment w:val="auto"/>
    </w:pPr>
    <w:rPr>
      <w:rFonts w:eastAsia="Calibri"/>
      <w:szCs w:val="22"/>
      <w:lang w:val="en-GB"/>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
    <w:link w:val="ListParagraph"/>
    <w:uiPriority w:val="34"/>
    <w:qFormat/>
    <w:locked/>
    <w:rsid w:val="00105EFB"/>
    <w:rPr>
      <w:rFonts w:ascii="Times New Roman" w:eastAsia="Calibri" w:hAnsi="Times New Roman"/>
      <w:szCs w:val="22"/>
      <w:lang w:val="en-GB" w:eastAsia="en-US"/>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character" w:customStyle="1" w:styleId="FooterChar">
    <w:name w:val="Footer Char"/>
    <w:basedOn w:val="DefaultParagraphFont"/>
    <w:link w:val="Footer"/>
    <w:uiPriority w:val="99"/>
    <w:rsid w:val="0081555D"/>
    <w:rPr>
      <w:rFonts w:ascii="Arial" w:hAnsi="Arial"/>
      <w:b/>
      <w:i/>
      <w:noProof/>
      <w:sz w:val="18"/>
      <w:lang w:eastAsia="en-US"/>
    </w:rPr>
  </w:style>
  <w:style w:type="character" w:customStyle="1" w:styleId="BodyTextChar">
    <w:name w:val="Body Text Char"/>
    <w:aliases w:val="bt Char"/>
    <w:basedOn w:val="DefaultParagraphFont"/>
    <w:link w:val="BodyText"/>
    <w:rsid w:val="00921FC2"/>
    <w:rPr>
      <w:rFonts w:ascii="Times" w:hAnsi="Times"/>
      <w:szCs w:val="24"/>
      <w:lang w:eastAsia="en-US"/>
    </w:rPr>
  </w:style>
  <w:style w:type="table" w:styleId="GridTable4-Accent1">
    <w:name w:val="Grid Table 4 Accent 1"/>
    <w:basedOn w:val="TableNormal"/>
    <w:uiPriority w:val="49"/>
    <w:rsid w:val="00091ADD"/>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TableofFigures">
    <w:name w:val="table of figures"/>
    <w:basedOn w:val="Normal"/>
    <w:next w:val="Normal"/>
    <w:uiPriority w:val="99"/>
    <w:unhideWhenUsed/>
    <w:rsid w:val="00331915"/>
    <w:pPr>
      <w:spacing w:before="120" w:after="120"/>
    </w:pPr>
  </w:style>
  <w:style w:type="character" w:customStyle="1" w:styleId="CaptionChar1">
    <w:name w:val="Caption Char1"/>
    <w:aliases w:val="cap Char1,cap Char Char,Caption Char Char,Caption Char1 Char Char,cap Char Char1 Char,Caption Char Char1 Char Char,cap Char2 Char,条目 Char"/>
    <w:link w:val="Caption"/>
    <w:uiPriority w:val="99"/>
    <w:rsid w:val="00D81303"/>
    <w:rPr>
      <w:rFonts w:ascii="Times New Roman" w:hAnsi="Times New Roman"/>
      <w:b/>
      <w:bCs/>
      <w:lang w:eastAsia="en-US"/>
    </w:rPr>
  </w:style>
  <w:style w:type="numbering" w:customStyle="1" w:styleId="StyleBulleted">
    <w:name w:val="Style Bulleted"/>
    <w:rsid w:val="00CC124C"/>
    <w:pPr>
      <w:numPr>
        <w:numId w:val="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51586094">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744332">
      <w:bodyDiv w:val="1"/>
      <w:marLeft w:val="0"/>
      <w:marRight w:val="0"/>
      <w:marTop w:val="0"/>
      <w:marBottom w:val="0"/>
      <w:divBdr>
        <w:top w:val="none" w:sz="0" w:space="0" w:color="auto"/>
        <w:left w:val="none" w:sz="0" w:space="0" w:color="auto"/>
        <w:bottom w:val="none" w:sz="0" w:space="0" w:color="auto"/>
        <w:right w:val="none" w:sz="0" w:space="0" w:color="auto"/>
      </w:divBdr>
      <w:divsChild>
        <w:div w:id="260188044">
          <w:marLeft w:val="547"/>
          <w:marRight w:val="0"/>
          <w:marTop w:val="115"/>
          <w:marBottom w:val="0"/>
          <w:divBdr>
            <w:top w:val="none" w:sz="0" w:space="0" w:color="auto"/>
            <w:left w:val="none" w:sz="0" w:space="0" w:color="auto"/>
            <w:bottom w:val="none" w:sz="0" w:space="0" w:color="auto"/>
            <w:right w:val="none" w:sz="0" w:space="0" w:color="auto"/>
          </w:divBdr>
        </w:div>
        <w:div w:id="1273709646">
          <w:marLeft w:val="547"/>
          <w:marRight w:val="0"/>
          <w:marTop w:val="115"/>
          <w:marBottom w:val="0"/>
          <w:divBdr>
            <w:top w:val="none" w:sz="0" w:space="0" w:color="auto"/>
            <w:left w:val="none" w:sz="0" w:space="0" w:color="auto"/>
            <w:bottom w:val="none" w:sz="0" w:space="0" w:color="auto"/>
            <w:right w:val="none" w:sz="0" w:space="0" w:color="auto"/>
          </w:divBdr>
        </w:div>
        <w:div w:id="1912229593">
          <w:marLeft w:val="547"/>
          <w:marRight w:val="0"/>
          <w:marTop w:val="115"/>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2195143">
      <w:bodyDiv w:val="1"/>
      <w:marLeft w:val="0"/>
      <w:marRight w:val="0"/>
      <w:marTop w:val="0"/>
      <w:marBottom w:val="0"/>
      <w:divBdr>
        <w:top w:val="none" w:sz="0" w:space="0" w:color="auto"/>
        <w:left w:val="none" w:sz="0" w:space="0" w:color="auto"/>
        <w:bottom w:val="none" w:sz="0" w:space="0" w:color="auto"/>
        <w:right w:val="none" w:sz="0" w:space="0" w:color="auto"/>
      </w:divBdr>
      <w:divsChild>
        <w:div w:id="6642240">
          <w:marLeft w:val="547"/>
          <w:marRight w:val="0"/>
          <w:marTop w:val="115"/>
          <w:marBottom w:val="0"/>
          <w:divBdr>
            <w:top w:val="none" w:sz="0" w:space="0" w:color="auto"/>
            <w:left w:val="none" w:sz="0" w:space="0" w:color="auto"/>
            <w:bottom w:val="none" w:sz="0" w:space="0" w:color="auto"/>
            <w:right w:val="none" w:sz="0" w:space="0" w:color="auto"/>
          </w:divBdr>
        </w:div>
        <w:div w:id="38170459">
          <w:marLeft w:val="1166"/>
          <w:marRight w:val="0"/>
          <w:marTop w:val="96"/>
          <w:marBottom w:val="0"/>
          <w:divBdr>
            <w:top w:val="none" w:sz="0" w:space="0" w:color="auto"/>
            <w:left w:val="none" w:sz="0" w:space="0" w:color="auto"/>
            <w:bottom w:val="none" w:sz="0" w:space="0" w:color="auto"/>
            <w:right w:val="none" w:sz="0" w:space="0" w:color="auto"/>
          </w:divBdr>
        </w:div>
        <w:div w:id="250166333">
          <w:marLeft w:val="547"/>
          <w:marRight w:val="0"/>
          <w:marTop w:val="115"/>
          <w:marBottom w:val="0"/>
          <w:divBdr>
            <w:top w:val="none" w:sz="0" w:space="0" w:color="auto"/>
            <w:left w:val="none" w:sz="0" w:space="0" w:color="auto"/>
            <w:bottom w:val="none" w:sz="0" w:space="0" w:color="auto"/>
            <w:right w:val="none" w:sz="0" w:space="0" w:color="auto"/>
          </w:divBdr>
        </w:div>
        <w:div w:id="1792742455">
          <w:marLeft w:val="1166"/>
          <w:marRight w:val="0"/>
          <w:marTop w:val="96"/>
          <w:marBottom w:val="0"/>
          <w:divBdr>
            <w:top w:val="none" w:sz="0" w:space="0" w:color="auto"/>
            <w:left w:val="none" w:sz="0" w:space="0" w:color="auto"/>
            <w:bottom w:val="none" w:sz="0" w:space="0" w:color="auto"/>
            <w:right w:val="none" w:sz="0" w:space="0" w:color="auto"/>
          </w:divBdr>
        </w:div>
      </w:divsChild>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37388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3232680">
      <w:bodyDiv w:val="1"/>
      <w:marLeft w:val="0"/>
      <w:marRight w:val="0"/>
      <w:marTop w:val="0"/>
      <w:marBottom w:val="0"/>
      <w:divBdr>
        <w:top w:val="none" w:sz="0" w:space="0" w:color="auto"/>
        <w:left w:val="none" w:sz="0" w:space="0" w:color="auto"/>
        <w:bottom w:val="none" w:sz="0" w:space="0" w:color="auto"/>
        <w:right w:val="none" w:sz="0" w:space="0" w:color="auto"/>
      </w:divBdr>
      <w:divsChild>
        <w:div w:id="1590503">
          <w:marLeft w:val="547"/>
          <w:marRight w:val="0"/>
          <w:marTop w:val="106"/>
          <w:marBottom w:val="0"/>
          <w:divBdr>
            <w:top w:val="none" w:sz="0" w:space="0" w:color="auto"/>
            <w:left w:val="none" w:sz="0" w:space="0" w:color="auto"/>
            <w:bottom w:val="none" w:sz="0" w:space="0" w:color="auto"/>
            <w:right w:val="none" w:sz="0" w:space="0" w:color="auto"/>
          </w:divBdr>
        </w:div>
        <w:div w:id="34356746">
          <w:marLeft w:val="1627"/>
          <w:marRight w:val="0"/>
          <w:marTop w:val="82"/>
          <w:marBottom w:val="0"/>
          <w:divBdr>
            <w:top w:val="none" w:sz="0" w:space="0" w:color="auto"/>
            <w:left w:val="none" w:sz="0" w:space="0" w:color="auto"/>
            <w:bottom w:val="none" w:sz="0" w:space="0" w:color="auto"/>
            <w:right w:val="none" w:sz="0" w:space="0" w:color="auto"/>
          </w:divBdr>
        </w:div>
        <w:div w:id="491143851">
          <w:marLeft w:val="1166"/>
          <w:marRight w:val="0"/>
          <w:marTop w:val="91"/>
          <w:marBottom w:val="0"/>
          <w:divBdr>
            <w:top w:val="none" w:sz="0" w:space="0" w:color="auto"/>
            <w:left w:val="none" w:sz="0" w:space="0" w:color="auto"/>
            <w:bottom w:val="none" w:sz="0" w:space="0" w:color="auto"/>
            <w:right w:val="none" w:sz="0" w:space="0" w:color="auto"/>
          </w:divBdr>
        </w:div>
        <w:div w:id="649749645">
          <w:marLeft w:val="547"/>
          <w:marRight w:val="0"/>
          <w:marTop w:val="106"/>
          <w:marBottom w:val="0"/>
          <w:divBdr>
            <w:top w:val="none" w:sz="0" w:space="0" w:color="auto"/>
            <w:left w:val="none" w:sz="0" w:space="0" w:color="auto"/>
            <w:bottom w:val="none" w:sz="0" w:space="0" w:color="auto"/>
            <w:right w:val="none" w:sz="0" w:space="0" w:color="auto"/>
          </w:divBdr>
        </w:div>
        <w:div w:id="838345477">
          <w:marLeft w:val="1166"/>
          <w:marRight w:val="0"/>
          <w:marTop w:val="91"/>
          <w:marBottom w:val="0"/>
          <w:divBdr>
            <w:top w:val="none" w:sz="0" w:space="0" w:color="auto"/>
            <w:left w:val="none" w:sz="0" w:space="0" w:color="auto"/>
            <w:bottom w:val="none" w:sz="0" w:space="0" w:color="auto"/>
            <w:right w:val="none" w:sz="0" w:space="0" w:color="auto"/>
          </w:divBdr>
        </w:div>
        <w:div w:id="874543339">
          <w:marLeft w:val="1166"/>
          <w:marRight w:val="0"/>
          <w:marTop w:val="91"/>
          <w:marBottom w:val="0"/>
          <w:divBdr>
            <w:top w:val="none" w:sz="0" w:space="0" w:color="auto"/>
            <w:left w:val="none" w:sz="0" w:space="0" w:color="auto"/>
            <w:bottom w:val="none" w:sz="0" w:space="0" w:color="auto"/>
            <w:right w:val="none" w:sz="0" w:space="0" w:color="auto"/>
          </w:divBdr>
        </w:div>
        <w:div w:id="1232157434">
          <w:marLeft w:val="1166"/>
          <w:marRight w:val="0"/>
          <w:marTop w:val="91"/>
          <w:marBottom w:val="0"/>
          <w:divBdr>
            <w:top w:val="none" w:sz="0" w:space="0" w:color="auto"/>
            <w:left w:val="none" w:sz="0" w:space="0" w:color="auto"/>
            <w:bottom w:val="none" w:sz="0" w:space="0" w:color="auto"/>
            <w:right w:val="none" w:sz="0" w:space="0" w:color="auto"/>
          </w:divBdr>
        </w:div>
        <w:div w:id="1491483923">
          <w:marLeft w:val="1166"/>
          <w:marRight w:val="0"/>
          <w:marTop w:val="91"/>
          <w:marBottom w:val="0"/>
          <w:divBdr>
            <w:top w:val="none" w:sz="0" w:space="0" w:color="auto"/>
            <w:left w:val="none" w:sz="0" w:space="0" w:color="auto"/>
            <w:bottom w:val="none" w:sz="0" w:space="0" w:color="auto"/>
            <w:right w:val="none" w:sz="0" w:space="0" w:color="auto"/>
          </w:divBdr>
        </w:div>
        <w:div w:id="1604340530">
          <w:marLeft w:val="1166"/>
          <w:marRight w:val="0"/>
          <w:marTop w:val="91"/>
          <w:marBottom w:val="0"/>
          <w:divBdr>
            <w:top w:val="none" w:sz="0" w:space="0" w:color="auto"/>
            <w:left w:val="none" w:sz="0" w:space="0" w:color="auto"/>
            <w:bottom w:val="none" w:sz="0" w:space="0" w:color="auto"/>
            <w:right w:val="none" w:sz="0" w:space="0" w:color="auto"/>
          </w:divBdr>
        </w:div>
        <w:div w:id="1623876187">
          <w:marLeft w:val="1166"/>
          <w:marRight w:val="0"/>
          <w:marTop w:val="91"/>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9036030">
      <w:bodyDiv w:val="1"/>
      <w:marLeft w:val="0"/>
      <w:marRight w:val="0"/>
      <w:marTop w:val="0"/>
      <w:marBottom w:val="0"/>
      <w:divBdr>
        <w:top w:val="none" w:sz="0" w:space="0" w:color="auto"/>
        <w:left w:val="none" w:sz="0" w:space="0" w:color="auto"/>
        <w:bottom w:val="none" w:sz="0" w:space="0" w:color="auto"/>
        <w:right w:val="none" w:sz="0" w:space="0" w:color="auto"/>
      </w:divBdr>
      <w:divsChild>
        <w:div w:id="132231">
          <w:marLeft w:val="1166"/>
          <w:marRight w:val="0"/>
          <w:marTop w:val="96"/>
          <w:marBottom w:val="0"/>
          <w:divBdr>
            <w:top w:val="none" w:sz="0" w:space="0" w:color="auto"/>
            <w:left w:val="none" w:sz="0" w:space="0" w:color="auto"/>
            <w:bottom w:val="none" w:sz="0" w:space="0" w:color="auto"/>
            <w:right w:val="none" w:sz="0" w:space="0" w:color="auto"/>
          </w:divBdr>
        </w:div>
        <w:div w:id="465204912">
          <w:marLeft w:val="1166"/>
          <w:marRight w:val="0"/>
          <w:marTop w:val="96"/>
          <w:marBottom w:val="0"/>
          <w:divBdr>
            <w:top w:val="none" w:sz="0" w:space="0" w:color="auto"/>
            <w:left w:val="none" w:sz="0" w:space="0" w:color="auto"/>
            <w:bottom w:val="none" w:sz="0" w:space="0" w:color="auto"/>
            <w:right w:val="none" w:sz="0" w:space="0" w:color="auto"/>
          </w:divBdr>
        </w:div>
        <w:div w:id="537669845">
          <w:marLeft w:val="1627"/>
          <w:marRight w:val="0"/>
          <w:marTop w:val="86"/>
          <w:marBottom w:val="0"/>
          <w:divBdr>
            <w:top w:val="none" w:sz="0" w:space="0" w:color="auto"/>
            <w:left w:val="none" w:sz="0" w:space="0" w:color="auto"/>
            <w:bottom w:val="none" w:sz="0" w:space="0" w:color="auto"/>
            <w:right w:val="none" w:sz="0" w:space="0" w:color="auto"/>
          </w:divBdr>
        </w:div>
        <w:div w:id="681319918">
          <w:marLeft w:val="1627"/>
          <w:marRight w:val="0"/>
          <w:marTop w:val="86"/>
          <w:marBottom w:val="0"/>
          <w:divBdr>
            <w:top w:val="none" w:sz="0" w:space="0" w:color="auto"/>
            <w:left w:val="none" w:sz="0" w:space="0" w:color="auto"/>
            <w:bottom w:val="none" w:sz="0" w:space="0" w:color="auto"/>
            <w:right w:val="none" w:sz="0" w:space="0" w:color="auto"/>
          </w:divBdr>
        </w:div>
        <w:div w:id="1129977730">
          <w:marLeft w:val="1166"/>
          <w:marRight w:val="0"/>
          <w:marTop w:val="96"/>
          <w:marBottom w:val="0"/>
          <w:divBdr>
            <w:top w:val="none" w:sz="0" w:space="0" w:color="auto"/>
            <w:left w:val="none" w:sz="0" w:space="0" w:color="auto"/>
            <w:bottom w:val="none" w:sz="0" w:space="0" w:color="auto"/>
            <w:right w:val="none" w:sz="0" w:space="0" w:color="auto"/>
          </w:divBdr>
        </w:div>
        <w:div w:id="1420634627">
          <w:marLeft w:val="547"/>
          <w:marRight w:val="0"/>
          <w:marTop w:val="115"/>
          <w:marBottom w:val="0"/>
          <w:divBdr>
            <w:top w:val="none" w:sz="0" w:space="0" w:color="auto"/>
            <w:left w:val="none" w:sz="0" w:space="0" w:color="auto"/>
            <w:bottom w:val="none" w:sz="0" w:space="0" w:color="auto"/>
            <w:right w:val="none" w:sz="0" w:space="0" w:color="auto"/>
          </w:divBdr>
        </w:div>
        <w:div w:id="1622957450">
          <w:marLeft w:val="547"/>
          <w:marRight w:val="0"/>
          <w:marTop w:val="115"/>
          <w:marBottom w:val="0"/>
          <w:divBdr>
            <w:top w:val="none" w:sz="0" w:space="0" w:color="auto"/>
            <w:left w:val="none" w:sz="0" w:space="0" w:color="auto"/>
            <w:bottom w:val="none" w:sz="0" w:space="0" w:color="auto"/>
            <w:right w:val="none" w:sz="0" w:space="0" w:color="auto"/>
          </w:divBdr>
        </w:div>
        <w:div w:id="1658918781">
          <w:marLeft w:val="1627"/>
          <w:marRight w:val="0"/>
          <w:marTop w:val="86"/>
          <w:marBottom w:val="0"/>
          <w:divBdr>
            <w:top w:val="none" w:sz="0" w:space="0" w:color="auto"/>
            <w:left w:val="none" w:sz="0" w:space="0" w:color="auto"/>
            <w:bottom w:val="none" w:sz="0" w:space="0" w:color="auto"/>
            <w:right w:val="none" w:sz="0" w:space="0" w:color="auto"/>
          </w:divBdr>
        </w:div>
        <w:div w:id="1671323683">
          <w:marLeft w:val="547"/>
          <w:marRight w:val="0"/>
          <w:marTop w:val="115"/>
          <w:marBottom w:val="0"/>
          <w:divBdr>
            <w:top w:val="none" w:sz="0" w:space="0" w:color="auto"/>
            <w:left w:val="none" w:sz="0" w:space="0" w:color="auto"/>
            <w:bottom w:val="none" w:sz="0" w:space="0" w:color="auto"/>
            <w:right w:val="none" w:sz="0" w:space="0" w:color="auto"/>
          </w:divBdr>
        </w:div>
        <w:div w:id="1702778490">
          <w:marLeft w:val="1166"/>
          <w:marRight w:val="0"/>
          <w:marTop w:val="96"/>
          <w:marBottom w:val="0"/>
          <w:divBdr>
            <w:top w:val="none" w:sz="0" w:space="0" w:color="auto"/>
            <w:left w:val="none" w:sz="0" w:space="0" w:color="auto"/>
            <w:bottom w:val="none" w:sz="0" w:space="0" w:color="auto"/>
            <w:right w:val="none" w:sz="0" w:space="0" w:color="auto"/>
          </w:divBdr>
        </w:div>
        <w:div w:id="1883516388">
          <w:marLeft w:val="1166"/>
          <w:marRight w:val="0"/>
          <w:marTop w:val="96"/>
          <w:marBottom w:val="0"/>
          <w:divBdr>
            <w:top w:val="none" w:sz="0" w:space="0" w:color="auto"/>
            <w:left w:val="none" w:sz="0" w:space="0" w:color="auto"/>
            <w:bottom w:val="none" w:sz="0" w:space="0" w:color="auto"/>
            <w:right w:val="none" w:sz="0" w:space="0" w:color="auto"/>
          </w:divBdr>
        </w:div>
        <w:div w:id="1922132981">
          <w:marLeft w:val="1166"/>
          <w:marRight w:val="0"/>
          <w:marTop w:val="96"/>
          <w:marBottom w:val="0"/>
          <w:divBdr>
            <w:top w:val="none" w:sz="0" w:space="0" w:color="auto"/>
            <w:left w:val="none" w:sz="0" w:space="0" w:color="auto"/>
            <w:bottom w:val="none" w:sz="0" w:space="0" w:color="auto"/>
            <w:right w:val="none" w:sz="0" w:space="0" w:color="auto"/>
          </w:divBdr>
        </w:div>
        <w:div w:id="2076584848">
          <w:marLeft w:val="1166"/>
          <w:marRight w:val="0"/>
          <w:marTop w:val="9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1659464">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4154477">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25406527">
      <w:bodyDiv w:val="1"/>
      <w:marLeft w:val="0"/>
      <w:marRight w:val="0"/>
      <w:marTop w:val="0"/>
      <w:marBottom w:val="0"/>
      <w:divBdr>
        <w:top w:val="none" w:sz="0" w:space="0" w:color="auto"/>
        <w:left w:val="none" w:sz="0" w:space="0" w:color="auto"/>
        <w:bottom w:val="none" w:sz="0" w:space="0" w:color="auto"/>
        <w:right w:val="none" w:sz="0" w:space="0" w:color="auto"/>
      </w:divBdr>
      <w:divsChild>
        <w:div w:id="37780075">
          <w:marLeft w:val="1627"/>
          <w:marRight w:val="0"/>
          <w:marTop w:val="86"/>
          <w:marBottom w:val="0"/>
          <w:divBdr>
            <w:top w:val="none" w:sz="0" w:space="0" w:color="auto"/>
            <w:left w:val="none" w:sz="0" w:space="0" w:color="auto"/>
            <w:bottom w:val="none" w:sz="0" w:space="0" w:color="auto"/>
            <w:right w:val="none" w:sz="0" w:space="0" w:color="auto"/>
          </w:divBdr>
        </w:div>
        <w:div w:id="263806707">
          <w:marLeft w:val="1627"/>
          <w:marRight w:val="0"/>
          <w:marTop w:val="86"/>
          <w:marBottom w:val="0"/>
          <w:divBdr>
            <w:top w:val="none" w:sz="0" w:space="0" w:color="auto"/>
            <w:left w:val="none" w:sz="0" w:space="0" w:color="auto"/>
            <w:bottom w:val="none" w:sz="0" w:space="0" w:color="auto"/>
            <w:right w:val="none" w:sz="0" w:space="0" w:color="auto"/>
          </w:divBdr>
        </w:div>
        <w:div w:id="285087810">
          <w:marLeft w:val="1166"/>
          <w:marRight w:val="0"/>
          <w:marTop w:val="96"/>
          <w:marBottom w:val="0"/>
          <w:divBdr>
            <w:top w:val="none" w:sz="0" w:space="0" w:color="auto"/>
            <w:left w:val="none" w:sz="0" w:space="0" w:color="auto"/>
            <w:bottom w:val="none" w:sz="0" w:space="0" w:color="auto"/>
            <w:right w:val="none" w:sz="0" w:space="0" w:color="auto"/>
          </w:divBdr>
        </w:div>
        <w:div w:id="698968616">
          <w:marLeft w:val="547"/>
          <w:marRight w:val="0"/>
          <w:marTop w:val="115"/>
          <w:marBottom w:val="0"/>
          <w:divBdr>
            <w:top w:val="none" w:sz="0" w:space="0" w:color="auto"/>
            <w:left w:val="none" w:sz="0" w:space="0" w:color="auto"/>
            <w:bottom w:val="none" w:sz="0" w:space="0" w:color="auto"/>
            <w:right w:val="none" w:sz="0" w:space="0" w:color="auto"/>
          </w:divBdr>
        </w:div>
        <w:div w:id="879246299">
          <w:marLeft w:val="1166"/>
          <w:marRight w:val="0"/>
          <w:marTop w:val="96"/>
          <w:marBottom w:val="0"/>
          <w:divBdr>
            <w:top w:val="none" w:sz="0" w:space="0" w:color="auto"/>
            <w:left w:val="none" w:sz="0" w:space="0" w:color="auto"/>
            <w:bottom w:val="none" w:sz="0" w:space="0" w:color="auto"/>
            <w:right w:val="none" w:sz="0" w:space="0" w:color="auto"/>
          </w:divBdr>
        </w:div>
        <w:div w:id="907494353">
          <w:marLeft w:val="1166"/>
          <w:marRight w:val="0"/>
          <w:marTop w:val="96"/>
          <w:marBottom w:val="0"/>
          <w:divBdr>
            <w:top w:val="none" w:sz="0" w:space="0" w:color="auto"/>
            <w:left w:val="none" w:sz="0" w:space="0" w:color="auto"/>
            <w:bottom w:val="none" w:sz="0" w:space="0" w:color="auto"/>
            <w:right w:val="none" w:sz="0" w:space="0" w:color="auto"/>
          </w:divBdr>
        </w:div>
        <w:div w:id="915629483">
          <w:marLeft w:val="1166"/>
          <w:marRight w:val="0"/>
          <w:marTop w:val="96"/>
          <w:marBottom w:val="0"/>
          <w:divBdr>
            <w:top w:val="none" w:sz="0" w:space="0" w:color="auto"/>
            <w:left w:val="none" w:sz="0" w:space="0" w:color="auto"/>
            <w:bottom w:val="none" w:sz="0" w:space="0" w:color="auto"/>
            <w:right w:val="none" w:sz="0" w:space="0" w:color="auto"/>
          </w:divBdr>
        </w:div>
        <w:div w:id="1173837065">
          <w:marLeft w:val="547"/>
          <w:marRight w:val="0"/>
          <w:marTop w:val="115"/>
          <w:marBottom w:val="0"/>
          <w:divBdr>
            <w:top w:val="none" w:sz="0" w:space="0" w:color="auto"/>
            <w:left w:val="none" w:sz="0" w:space="0" w:color="auto"/>
            <w:bottom w:val="none" w:sz="0" w:space="0" w:color="auto"/>
            <w:right w:val="none" w:sz="0" w:space="0" w:color="auto"/>
          </w:divBdr>
        </w:div>
        <w:div w:id="1453405527">
          <w:marLeft w:val="1166"/>
          <w:marRight w:val="0"/>
          <w:marTop w:val="96"/>
          <w:marBottom w:val="0"/>
          <w:divBdr>
            <w:top w:val="none" w:sz="0" w:space="0" w:color="auto"/>
            <w:left w:val="none" w:sz="0" w:space="0" w:color="auto"/>
            <w:bottom w:val="none" w:sz="0" w:space="0" w:color="auto"/>
            <w:right w:val="none" w:sz="0" w:space="0" w:color="auto"/>
          </w:divBdr>
        </w:div>
        <w:div w:id="1662074220">
          <w:marLeft w:val="1166"/>
          <w:marRight w:val="0"/>
          <w:marTop w:val="96"/>
          <w:marBottom w:val="0"/>
          <w:divBdr>
            <w:top w:val="none" w:sz="0" w:space="0" w:color="auto"/>
            <w:left w:val="none" w:sz="0" w:space="0" w:color="auto"/>
            <w:bottom w:val="none" w:sz="0" w:space="0" w:color="auto"/>
            <w:right w:val="none" w:sz="0" w:space="0" w:color="auto"/>
          </w:divBdr>
        </w:div>
        <w:div w:id="1774009913">
          <w:marLeft w:val="547"/>
          <w:marRight w:val="0"/>
          <w:marTop w:val="115"/>
          <w:marBottom w:val="0"/>
          <w:divBdr>
            <w:top w:val="none" w:sz="0" w:space="0" w:color="auto"/>
            <w:left w:val="none" w:sz="0" w:space="0" w:color="auto"/>
            <w:bottom w:val="none" w:sz="0" w:space="0" w:color="auto"/>
            <w:right w:val="none" w:sz="0" w:space="0" w:color="auto"/>
          </w:divBdr>
        </w:div>
        <w:div w:id="1925533757">
          <w:marLeft w:val="1166"/>
          <w:marRight w:val="0"/>
          <w:marTop w:val="96"/>
          <w:marBottom w:val="0"/>
          <w:divBdr>
            <w:top w:val="none" w:sz="0" w:space="0" w:color="auto"/>
            <w:left w:val="none" w:sz="0" w:space="0" w:color="auto"/>
            <w:bottom w:val="none" w:sz="0" w:space="0" w:color="auto"/>
            <w:right w:val="none" w:sz="0" w:space="0" w:color="auto"/>
          </w:divBdr>
        </w:div>
        <w:div w:id="2141224860">
          <w:marLeft w:val="1627"/>
          <w:marRight w:val="0"/>
          <w:marTop w:val="86"/>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787969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9179333">
      <w:bodyDiv w:val="1"/>
      <w:marLeft w:val="0"/>
      <w:marRight w:val="0"/>
      <w:marTop w:val="0"/>
      <w:marBottom w:val="0"/>
      <w:divBdr>
        <w:top w:val="none" w:sz="0" w:space="0" w:color="auto"/>
        <w:left w:val="none" w:sz="0" w:space="0" w:color="auto"/>
        <w:bottom w:val="none" w:sz="0" w:space="0" w:color="auto"/>
        <w:right w:val="none" w:sz="0" w:space="0" w:color="auto"/>
      </w:divBdr>
      <w:divsChild>
        <w:div w:id="111482863">
          <w:marLeft w:val="1166"/>
          <w:marRight w:val="0"/>
          <w:marTop w:val="96"/>
          <w:marBottom w:val="0"/>
          <w:divBdr>
            <w:top w:val="none" w:sz="0" w:space="0" w:color="auto"/>
            <w:left w:val="none" w:sz="0" w:space="0" w:color="auto"/>
            <w:bottom w:val="none" w:sz="0" w:space="0" w:color="auto"/>
            <w:right w:val="none" w:sz="0" w:space="0" w:color="auto"/>
          </w:divBdr>
        </w:div>
        <w:div w:id="114761588">
          <w:marLeft w:val="1166"/>
          <w:marRight w:val="0"/>
          <w:marTop w:val="96"/>
          <w:marBottom w:val="0"/>
          <w:divBdr>
            <w:top w:val="none" w:sz="0" w:space="0" w:color="auto"/>
            <w:left w:val="none" w:sz="0" w:space="0" w:color="auto"/>
            <w:bottom w:val="none" w:sz="0" w:space="0" w:color="auto"/>
            <w:right w:val="none" w:sz="0" w:space="0" w:color="auto"/>
          </w:divBdr>
        </w:div>
        <w:div w:id="215121712">
          <w:marLeft w:val="547"/>
          <w:marRight w:val="0"/>
          <w:marTop w:val="115"/>
          <w:marBottom w:val="0"/>
          <w:divBdr>
            <w:top w:val="none" w:sz="0" w:space="0" w:color="auto"/>
            <w:left w:val="none" w:sz="0" w:space="0" w:color="auto"/>
            <w:bottom w:val="none" w:sz="0" w:space="0" w:color="auto"/>
            <w:right w:val="none" w:sz="0" w:space="0" w:color="auto"/>
          </w:divBdr>
        </w:div>
        <w:div w:id="600572695">
          <w:marLeft w:val="1166"/>
          <w:marRight w:val="0"/>
          <w:marTop w:val="96"/>
          <w:marBottom w:val="0"/>
          <w:divBdr>
            <w:top w:val="none" w:sz="0" w:space="0" w:color="auto"/>
            <w:left w:val="none" w:sz="0" w:space="0" w:color="auto"/>
            <w:bottom w:val="none" w:sz="0" w:space="0" w:color="auto"/>
            <w:right w:val="none" w:sz="0" w:space="0" w:color="auto"/>
          </w:divBdr>
        </w:div>
        <w:div w:id="608776937">
          <w:marLeft w:val="547"/>
          <w:marRight w:val="0"/>
          <w:marTop w:val="115"/>
          <w:marBottom w:val="0"/>
          <w:divBdr>
            <w:top w:val="none" w:sz="0" w:space="0" w:color="auto"/>
            <w:left w:val="none" w:sz="0" w:space="0" w:color="auto"/>
            <w:bottom w:val="none" w:sz="0" w:space="0" w:color="auto"/>
            <w:right w:val="none" w:sz="0" w:space="0" w:color="auto"/>
          </w:divBdr>
        </w:div>
        <w:div w:id="697656491">
          <w:marLeft w:val="1627"/>
          <w:marRight w:val="0"/>
          <w:marTop w:val="86"/>
          <w:marBottom w:val="0"/>
          <w:divBdr>
            <w:top w:val="none" w:sz="0" w:space="0" w:color="auto"/>
            <w:left w:val="none" w:sz="0" w:space="0" w:color="auto"/>
            <w:bottom w:val="none" w:sz="0" w:space="0" w:color="auto"/>
            <w:right w:val="none" w:sz="0" w:space="0" w:color="auto"/>
          </w:divBdr>
        </w:div>
        <w:div w:id="770469519">
          <w:marLeft w:val="1627"/>
          <w:marRight w:val="0"/>
          <w:marTop w:val="86"/>
          <w:marBottom w:val="0"/>
          <w:divBdr>
            <w:top w:val="none" w:sz="0" w:space="0" w:color="auto"/>
            <w:left w:val="none" w:sz="0" w:space="0" w:color="auto"/>
            <w:bottom w:val="none" w:sz="0" w:space="0" w:color="auto"/>
            <w:right w:val="none" w:sz="0" w:space="0" w:color="auto"/>
          </w:divBdr>
        </w:div>
        <w:div w:id="858471261">
          <w:marLeft w:val="2074"/>
          <w:marRight w:val="0"/>
          <w:marTop w:val="77"/>
          <w:marBottom w:val="0"/>
          <w:divBdr>
            <w:top w:val="none" w:sz="0" w:space="0" w:color="auto"/>
            <w:left w:val="none" w:sz="0" w:space="0" w:color="auto"/>
            <w:bottom w:val="none" w:sz="0" w:space="0" w:color="auto"/>
            <w:right w:val="none" w:sz="0" w:space="0" w:color="auto"/>
          </w:divBdr>
        </w:div>
        <w:div w:id="1067412729">
          <w:marLeft w:val="1627"/>
          <w:marRight w:val="0"/>
          <w:marTop w:val="86"/>
          <w:marBottom w:val="0"/>
          <w:divBdr>
            <w:top w:val="none" w:sz="0" w:space="0" w:color="auto"/>
            <w:left w:val="none" w:sz="0" w:space="0" w:color="auto"/>
            <w:bottom w:val="none" w:sz="0" w:space="0" w:color="auto"/>
            <w:right w:val="none" w:sz="0" w:space="0" w:color="auto"/>
          </w:divBdr>
        </w:div>
        <w:div w:id="1105199747">
          <w:marLeft w:val="1627"/>
          <w:marRight w:val="0"/>
          <w:marTop w:val="86"/>
          <w:marBottom w:val="0"/>
          <w:divBdr>
            <w:top w:val="none" w:sz="0" w:space="0" w:color="auto"/>
            <w:left w:val="none" w:sz="0" w:space="0" w:color="auto"/>
            <w:bottom w:val="none" w:sz="0" w:space="0" w:color="auto"/>
            <w:right w:val="none" w:sz="0" w:space="0" w:color="auto"/>
          </w:divBdr>
        </w:div>
        <w:div w:id="1185169486">
          <w:marLeft w:val="1627"/>
          <w:marRight w:val="0"/>
          <w:marTop w:val="86"/>
          <w:marBottom w:val="0"/>
          <w:divBdr>
            <w:top w:val="none" w:sz="0" w:space="0" w:color="auto"/>
            <w:left w:val="none" w:sz="0" w:space="0" w:color="auto"/>
            <w:bottom w:val="none" w:sz="0" w:space="0" w:color="auto"/>
            <w:right w:val="none" w:sz="0" w:space="0" w:color="auto"/>
          </w:divBdr>
        </w:div>
        <w:div w:id="1549412935">
          <w:marLeft w:val="1627"/>
          <w:marRight w:val="0"/>
          <w:marTop w:val="86"/>
          <w:marBottom w:val="0"/>
          <w:divBdr>
            <w:top w:val="none" w:sz="0" w:space="0" w:color="auto"/>
            <w:left w:val="none" w:sz="0" w:space="0" w:color="auto"/>
            <w:bottom w:val="none" w:sz="0" w:space="0" w:color="auto"/>
            <w:right w:val="none" w:sz="0" w:space="0" w:color="auto"/>
          </w:divBdr>
        </w:div>
        <w:div w:id="1721979944">
          <w:marLeft w:val="547"/>
          <w:marRight w:val="0"/>
          <w:marTop w:val="115"/>
          <w:marBottom w:val="0"/>
          <w:divBdr>
            <w:top w:val="none" w:sz="0" w:space="0" w:color="auto"/>
            <w:left w:val="none" w:sz="0" w:space="0" w:color="auto"/>
            <w:bottom w:val="none" w:sz="0" w:space="0" w:color="auto"/>
            <w:right w:val="none" w:sz="0" w:space="0" w:color="auto"/>
          </w:divBdr>
        </w:div>
        <w:div w:id="2032755608">
          <w:marLeft w:val="1166"/>
          <w:marRight w:val="0"/>
          <w:marTop w:val="96"/>
          <w:marBottom w:val="0"/>
          <w:divBdr>
            <w:top w:val="none" w:sz="0" w:space="0" w:color="auto"/>
            <w:left w:val="none" w:sz="0" w:space="0" w:color="auto"/>
            <w:bottom w:val="none" w:sz="0" w:space="0" w:color="auto"/>
            <w:right w:val="none" w:sz="0" w:space="0" w:color="auto"/>
          </w:divBdr>
        </w:div>
        <w:div w:id="2065250644">
          <w:marLeft w:val="1627"/>
          <w:marRight w:val="0"/>
          <w:marTop w:val="86"/>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025120">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5141265">
      <w:bodyDiv w:val="1"/>
      <w:marLeft w:val="0"/>
      <w:marRight w:val="0"/>
      <w:marTop w:val="0"/>
      <w:marBottom w:val="0"/>
      <w:divBdr>
        <w:top w:val="none" w:sz="0" w:space="0" w:color="auto"/>
        <w:left w:val="none" w:sz="0" w:space="0" w:color="auto"/>
        <w:bottom w:val="none" w:sz="0" w:space="0" w:color="auto"/>
        <w:right w:val="none" w:sz="0" w:space="0" w:color="auto"/>
      </w:divBdr>
      <w:divsChild>
        <w:div w:id="309676008">
          <w:marLeft w:val="1627"/>
          <w:marRight w:val="0"/>
          <w:marTop w:val="86"/>
          <w:marBottom w:val="0"/>
          <w:divBdr>
            <w:top w:val="none" w:sz="0" w:space="0" w:color="auto"/>
            <w:left w:val="none" w:sz="0" w:space="0" w:color="auto"/>
            <w:bottom w:val="none" w:sz="0" w:space="0" w:color="auto"/>
            <w:right w:val="none" w:sz="0" w:space="0" w:color="auto"/>
          </w:divBdr>
        </w:div>
        <w:div w:id="595872497">
          <w:marLeft w:val="2074"/>
          <w:marRight w:val="0"/>
          <w:marTop w:val="77"/>
          <w:marBottom w:val="0"/>
          <w:divBdr>
            <w:top w:val="none" w:sz="0" w:space="0" w:color="auto"/>
            <w:left w:val="none" w:sz="0" w:space="0" w:color="auto"/>
            <w:bottom w:val="none" w:sz="0" w:space="0" w:color="auto"/>
            <w:right w:val="none" w:sz="0" w:space="0" w:color="auto"/>
          </w:divBdr>
        </w:div>
        <w:div w:id="826676089">
          <w:marLeft w:val="1166"/>
          <w:marRight w:val="0"/>
          <w:marTop w:val="96"/>
          <w:marBottom w:val="0"/>
          <w:divBdr>
            <w:top w:val="none" w:sz="0" w:space="0" w:color="auto"/>
            <w:left w:val="none" w:sz="0" w:space="0" w:color="auto"/>
            <w:bottom w:val="none" w:sz="0" w:space="0" w:color="auto"/>
            <w:right w:val="none" w:sz="0" w:space="0" w:color="auto"/>
          </w:divBdr>
        </w:div>
        <w:div w:id="1763985709">
          <w:marLeft w:val="2520"/>
          <w:marRight w:val="0"/>
          <w:marTop w:val="67"/>
          <w:marBottom w:val="0"/>
          <w:divBdr>
            <w:top w:val="none" w:sz="0" w:space="0" w:color="auto"/>
            <w:left w:val="none" w:sz="0" w:space="0" w:color="auto"/>
            <w:bottom w:val="none" w:sz="0" w:space="0" w:color="auto"/>
            <w:right w:val="none" w:sz="0" w:space="0" w:color="auto"/>
          </w:divBdr>
        </w:div>
        <w:div w:id="1777871220">
          <w:marLeft w:val="1627"/>
          <w:marRight w:val="0"/>
          <w:marTop w:val="86"/>
          <w:marBottom w:val="0"/>
          <w:divBdr>
            <w:top w:val="none" w:sz="0" w:space="0" w:color="auto"/>
            <w:left w:val="none" w:sz="0" w:space="0" w:color="auto"/>
            <w:bottom w:val="none" w:sz="0" w:space="0" w:color="auto"/>
            <w:right w:val="none" w:sz="0" w:space="0" w:color="auto"/>
          </w:divBdr>
        </w:div>
        <w:div w:id="1790663028">
          <w:marLeft w:val="1627"/>
          <w:marRight w:val="0"/>
          <w:marTop w:val="86"/>
          <w:marBottom w:val="0"/>
          <w:divBdr>
            <w:top w:val="none" w:sz="0" w:space="0" w:color="auto"/>
            <w:left w:val="none" w:sz="0" w:space="0" w:color="auto"/>
            <w:bottom w:val="none" w:sz="0" w:space="0" w:color="auto"/>
            <w:right w:val="none" w:sz="0" w:space="0" w:color="auto"/>
          </w:divBdr>
        </w:div>
        <w:div w:id="1826243472">
          <w:marLeft w:val="1627"/>
          <w:marRight w:val="0"/>
          <w:marTop w:val="86"/>
          <w:marBottom w:val="0"/>
          <w:divBdr>
            <w:top w:val="none" w:sz="0" w:space="0" w:color="auto"/>
            <w:left w:val="none" w:sz="0" w:space="0" w:color="auto"/>
            <w:bottom w:val="none" w:sz="0" w:space="0" w:color="auto"/>
            <w:right w:val="none" w:sz="0" w:space="0" w:color="auto"/>
          </w:divBdr>
        </w:div>
        <w:div w:id="1826896200">
          <w:marLeft w:val="1166"/>
          <w:marRight w:val="0"/>
          <w:marTop w:val="96"/>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61885031">
      <w:bodyDiv w:val="1"/>
      <w:marLeft w:val="0"/>
      <w:marRight w:val="0"/>
      <w:marTop w:val="0"/>
      <w:marBottom w:val="0"/>
      <w:divBdr>
        <w:top w:val="none" w:sz="0" w:space="0" w:color="auto"/>
        <w:left w:val="none" w:sz="0" w:space="0" w:color="auto"/>
        <w:bottom w:val="none" w:sz="0" w:space="0" w:color="auto"/>
        <w:right w:val="none" w:sz="0" w:space="0" w:color="auto"/>
      </w:divBdr>
      <w:divsChild>
        <w:div w:id="304050051">
          <w:marLeft w:val="547"/>
          <w:marRight w:val="0"/>
          <w:marTop w:val="115"/>
          <w:marBottom w:val="0"/>
          <w:divBdr>
            <w:top w:val="none" w:sz="0" w:space="0" w:color="auto"/>
            <w:left w:val="none" w:sz="0" w:space="0" w:color="auto"/>
            <w:bottom w:val="none" w:sz="0" w:space="0" w:color="auto"/>
            <w:right w:val="none" w:sz="0" w:space="0" w:color="auto"/>
          </w:divBdr>
        </w:div>
        <w:div w:id="608393207">
          <w:marLeft w:val="547"/>
          <w:marRight w:val="0"/>
          <w:marTop w:val="115"/>
          <w:marBottom w:val="0"/>
          <w:divBdr>
            <w:top w:val="none" w:sz="0" w:space="0" w:color="auto"/>
            <w:left w:val="none" w:sz="0" w:space="0" w:color="auto"/>
            <w:bottom w:val="none" w:sz="0" w:space="0" w:color="auto"/>
            <w:right w:val="none" w:sz="0" w:space="0" w:color="auto"/>
          </w:divBdr>
        </w:div>
        <w:div w:id="1227305544">
          <w:marLeft w:val="547"/>
          <w:marRight w:val="0"/>
          <w:marTop w:val="115"/>
          <w:marBottom w:val="0"/>
          <w:divBdr>
            <w:top w:val="none" w:sz="0" w:space="0" w:color="auto"/>
            <w:left w:val="none" w:sz="0" w:space="0" w:color="auto"/>
            <w:bottom w:val="none" w:sz="0" w:space="0" w:color="auto"/>
            <w:right w:val="none" w:sz="0" w:space="0" w:color="auto"/>
          </w:divBdr>
        </w:div>
        <w:div w:id="1307586309">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6897756">
      <w:bodyDiv w:val="1"/>
      <w:marLeft w:val="0"/>
      <w:marRight w:val="0"/>
      <w:marTop w:val="0"/>
      <w:marBottom w:val="0"/>
      <w:divBdr>
        <w:top w:val="none" w:sz="0" w:space="0" w:color="auto"/>
        <w:left w:val="none" w:sz="0" w:space="0" w:color="auto"/>
        <w:bottom w:val="none" w:sz="0" w:space="0" w:color="auto"/>
        <w:right w:val="none" w:sz="0" w:space="0" w:color="auto"/>
      </w:divBdr>
      <w:divsChild>
        <w:div w:id="336428114">
          <w:marLeft w:val="1627"/>
          <w:marRight w:val="0"/>
          <w:marTop w:val="86"/>
          <w:marBottom w:val="0"/>
          <w:divBdr>
            <w:top w:val="none" w:sz="0" w:space="0" w:color="auto"/>
            <w:left w:val="none" w:sz="0" w:space="0" w:color="auto"/>
            <w:bottom w:val="none" w:sz="0" w:space="0" w:color="auto"/>
            <w:right w:val="none" w:sz="0" w:space="0" w:color="auto"/>
          </w:divBdr>
        </w:div>
        <w:div w:id="1020231415">
          <w:marLeft w:val="547"/>
          <w:marRight w:val="0"/>
          <w:marTop w:val="115"/>
          <w:marBottom w:val="0"/>
          <w:divBdr>
            <w:top w:val="none" w:sz="0" w:space="0" w:color="auto"/>
            <w:left w:val="none" w:sz="0" w:space="0" w:color="auto"/>
            <w:bottom w:val="none" w:sz="0" w:space="0" w:color="auto"/>
            <w:right w:val="none" w:sz="0" w:space="0" w:color="auto"/>
          </w:divBdr>
        </w:div>
        <w:div w:id="1144472049">
          <w:marLeft w:val="547"/>
          <w:marRight w:val="0"/>
          <w:marTop w:val="115"/>
          <w:marBottom w:val="0"/>
          <w:divBdr>
            <w:top w:val="none" w:sz="0" w:space="0" w:color="auto"/>
            <w:left w:val="none" w:sz="0" w:space="0" w:color="auto"/>
            <w:bottom w:val="none" w:sz="0" w:space="0" w:color="auto"/>
            <w:right w:val="none" w:sz="0" w:space="0" w:color="auto"/>
          </w:divBdr>
        </w:div>
        <w:div w:id="1446120043">
          <w:marLeft w:val="1166"/>
          <w:marRight w:val="0"/>
          <w:marTop w:val="96"/>
          <w:marBottom w:val="0"/>
          <w:divBdr>
            <w:top w:val="none" w:sz="0" w:space="0" w:color="auto"/>
            <w:left w:val="none" w:sz="0" w:space="0" w:color="auto"/>
            <w:bottom w:val="none" w:sz="0" w:space="0" w:color="auto"/>
            <w:right w:val="none" w:sz="0" w:space="0" w:color="auto"/>
          </w:divBdr>
        </w:div>
        <w:div w:id="1577785138">
          <w:marLeft w:val="1627"/>
          <w:marRight w:val="0"/>
          <w:marTop w:val="86"/>
          <w:marBottom w:val="0"/>
          <w:divBdr>
            <w:top w:val="none" w:sz="0" w:space="0" w:color="auto"/>
            <w:left w:val="none" w:sz="0" w:space="0" w:color="auto"/>
            <w:bottom w:val="none" w:sz="0" w:space="0" w:color="auto"/>
            <w:right w:val="none" w:sz="0" w:space="0" w:color="auto"/>
          </w:divBdr>
        </w:div>
        <w:div w:id="1623421205">
          <w:marLeft w:val="1166"/>
          <w:marRight w:val="0"/>
          <w:marTop w:val="96"/>
          <w:marBottom w:val="0"/>
          <w:divBdr>
            <w:top w:val="none" w:sz="0" w:space="0" w:color="auto"/>
            <w:left w:val="none" w:sz="0" w:space="0" w:color="auto"/>
            <w:bottom w:val="none" w:sz="0" w:space="0" w:color="auto"/>
            <w:right w:val="none" w:sz="0" w:space="0" w:color="auto"/>
          </w:divBdr>
        </w:div>
        <w:div w:id="1691490057">
          <w:marLeft w:val="1627"/>
          <w:marRight w:val="0"/>
          <w:marTop w:val="86"/>
          <w:marBottom w:val="0"/>
          <w:divBdr>
            <w:top w:val="none" w:sz="0" w:space="0" w:color="auto"/>
            <w:left w:val="none" w:sz="0" w:space="0" w:color="auto"/>
            <w:bottom w:val="none" w:sz="0" w:space="0" w:color="auto"/>
            <w:right w:val="none" w:sz="0" w:space="0" w:color="auto"/>
          </w:divBdr>
        </w:div>
        <w:div w:id="1871140935">
          <w:marLeft w:val="1627"/>
          <w:marRight w:val="0"/>
          <w:marTop w:val="86"/>
          <w:marBottom w:val="0"/>
          <w:divBdr>
            <w:top w:val="none" w:sz="0" w:space="0" w:color="auto"/>
            <w:left w:val="none" w:sz="0" w:space="0" w:color="auto"/>
            <w:bottom w:val="none" w:sz="0" w:space="0" w:color="auto"/>
            <w:right w:val="none" w:sz="0" w:space="0" w:color="auto"/>
          </w:divBdr>
        </w:div>
      </w:divsChild>
    </w:div>
    <w:div w:id="179798536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7092206">
      <w:bodyDiv w:val="1"/>
      <w:marLeft w:val="0"/>
      <w:marRight w:val="0"/>
      <w:marTop w:val="0"/>
      <w:marBottom w:val="0"/>
      <w:divBdr>
        <w:top w:val="none" w:sz="0" w:space="0" w:color="auto"/>
        <w:left w:val="none" w:sz="0" w:space="0" w:color="auto"/>
        <w:bottom w:val="none" w:sz="0" w:space="0" w:color="auto"/>
        <w:right w:val="none" w:sz="0" w:space="0" w:color="auto"/>
      </w:divBdr>
      <w:divsChild>
        <w:div w:id="905385171">
          <w:marLeft w:val="547"/>
          <w:marRight w:val="0"/>
          <w:marTop w:val="115"/>
          <w:marBottom w:val="0"/>
          <w:divBdr>
            <w:top w:val="none" w:sz="0" w:space="0" w:color="auto"/>
            <w:left w:val="none" w:sz="0" w:space="0" w:color="auto"/>
            <w:bottom w:val="none" w:sz="0" w:space="0" w:color="auto"/>
            <w:right w:val="none" w:sz="0" w:space="0" w:color="auto"/>
          </w:divBdr>
        </w:div>
        <w:div w:id="1070495616">
          <w:marLeft w:val="547"/>
          <w:marRight w:val="0"/>
          <w:marTop w:val="115"/>
          <w:marBottom w:val="0"/>
          <w:divBdr>
            <w:top w:val="none" w:sz="0" w:space="0" w:color="auto"/>
            <w:left w:val="none" w:sz="0" w:space="0" w:color="auto"/>
            <w:bottom w:val="none" w:sz="0" w:space="0" w:color="auto"/>
            <w:right w:val="none" w:sz="0" w:space="0" w:color="auto"/>
          </w:divBdr>
        </w:div>
        <w:div w:id="2050182183">
          <w:marLeft w:val="547"/>
          <w:marRight w:val="0"/>
          <w:marTop w:val="115"/>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oleObject" Target="embeddings/oleObject4.bin"/><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oleObject2.bin"/><Relationship Id="rId25" Type="http://schemas.openxmlformats.org/officeDocument/2006/relationships/oleObject" Target="embeddings/oleObject6.bin"/><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png"/><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HR33RHYHUWRF-4-6741</_dlc_DocId>
    <_dlc_DocIdUrl xmlns="c06861ca-3f08-4d07-bff7-bb15bac121f4">
      <Url>https://projects.qualcomm.com/sites/pentari/_layouts/15/DocIdRedir.aspx?ID=HR33RHYHUWRF-4-6741</Url>
      <Description>HR33RHYHUWRF-4-6741</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156B33-FE54-4BF7-8206-606715473F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3.xml><?xml version="1.0" encoding="utf-8"?>
<ds:datastoreItem xmlns:ds="http://schemas.openxmlformats.org/officeDocument/2006/customXml" ds:itemID="{DE437376-A7B6-47B7-A9FE-9D6C62534131}">
  <ds:schemaRefs>
    <ds:schemaRef ds:uri="http://purl.org/dc/terms/"/>
    <ds:schemaRef ds:uri="http://schemas.openxmlformats.org/package/2006/metadata/core-properties"/>
    <ds:schemaRef ds:uri="http://schemas.microsoft.com/office/2006/documentManagement/types"/>
    <ds:schemaRef ds:uri="c06861ca-3f08-4d07-bff7-bb15bac121f4"/>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4.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5.xml><?xml version="1.0" encoding="utf-8"?>
<ds:datastoreItem xmlns:ds="http://schemas.openxmlformats.org/officeDocument/2006/customXml" ds:itemID="{CE57A9F4-3208-4ED3-BC19-985A7DC4F7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11</Pages>
  <Words>4812</Words>
  <Characters>27435</Characters>
  <Application>Microsoft Office Word</Application>
  <DocSecurity>0</DocSecurity>
  <Lines>228</Lines>
  <Paragraphs>64</Paragraphs>
  <ScaleCrop>false</ScaleCrop>
  <HeadingPairs>
    <vt:vector size="2" baseType="variant">
      <vt:variant>
        <vt:lpstr>Title</vt:lpstr>
      </vt:variant>
      <vt:variant>
        <vt:i4>1</vt:i4>
      </vt:variant>
    </vt:vector>
  </HeadingPairs>
  <TitlesOfParts>
    <vt:vector size="1" baseType="lpstr">
      <vt:lpstr>L1 Broadcast Control Channel</vt:lpstr>
    </vt:vector>
  </TitlesOfParts>
  <Company>Qualcomm Inc.</Company>
  <LinksUpToDate>false</LinksUpToDate>
  <CharactersWithSpaces>32183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L1 Broadcast Control Channel</dc:title>
  <dc:subject/>
  <dc:creator>Qualcomm Inc.</dc:creator>
  <cp:keywords/>
  <dc:description/>
  <cp:lastModifiedBy>Qualcomm</cp:lastModifiedBy>
  <cp:revision>2</cp:revision>
  <cp:lastPrinted>2018-04-07T03:05:00Z</cp:lastPrinted>
  <dcterms:created xsi:type="dcterms:W3CDTF">2018-04-07T04:39:00Z</dcterms:created>
  <dcterms:modified xsi:type="dcterms:W3CDTF">2018-04-07T04:39:00Z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3b80f6d1-f512-4393-b905-10dbc15bb10b</vt:lpwstr>
  </property>
  <property fmtid="{D5CDD505-2E9C-101B-9397-08002B2CF9AE}" pid="4" name="_AdHocReviewCycleID">
    <vt:i4>-1256317300</vt:i4>
  </property>
  <property fmtid="{D5CDD505-2E9C-101B-9397-08002B2CF9AE}" pid="5" name="_NewReviewCycle">
    <vt:lpwstr/>
  </property>
  <property fmtid="{D5CDD505-2E9C-101B-9397-08002B2CF9AE}" pid="6" name="_EmailSubject">
    <vt:lpwstr>Emailing: R1-18xxxxx Remaining Issues on CA</vt:lpwstr>
  </property>
  <property fmtid="{D5CDD505-2E9C-101B-9397-08002B2CF9AE}" pid="7" name="_AuthorEmail">
    <vt:lpwstr>yyangy@qti.qualcomm.com</vt:lpwstr>
  </property>
  <property fmtid="{D5CDD505-2E9C-101B-9397-08002B2CF9AE}" pid="8" name="_AuthorEmailDisplayName">
    <vt:lpwstr>Yang Yang</vt:lpwstr>
  </property>
  <property fmtid="{D5CDD505-2E9C-101B-9397-08002B2CF9AE}" pid="9" name="_ReviewingToolsShownOnce">
    <vt:lpwstr/>
  </property>
</Properties>
</file>